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Services</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Market</w:t>
      </w:r>
    </w:p>
    <w:bookmarkStart w:id="28" w:name="Xed3953723aba5285ec6a651e2089d4c5c0aacc6"/>
    <w:p>
      <w:pPr>
        <w:pStyle w:val="Heading1"/>
      </w:pPr>
      <w:r>
        <w:t xml:space="preserve">Sales Report: Graphic Designer Services Performance in United States Miami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Creative Visions Studio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Graphic Designer services within the competitive creative landscape of United States Miami. As a premier design studio serving South Florida's dynamic business ecosystem, Creative Visions Studio achieved remarkable growth in Q3 2023, with a 28% increase in revenue compared to Q2 and a 41% year-over-year surge. The Miami market—characterized by its vibrant tourism industry, thriving real estate sector, and multicultural business environment—remains our most strategic growth engine. This report analyzes key sales metrics, client acquisition strategies, and opportunities for expansion within United States Miami's unique market dynamics.</w:t>
      </w:r>
    </w:p>
    <w:bookmarkEnd w:id="20"/>
    <w:bookmarkStart w:id="21" w:name="Xa865cea18bc45d0071a466de9116f3d69292edb"/>
    <w:p>
      <w:pPr>
        <w:pStyle w:val="Heading2"/>
      </w:pPr>
      <w:r>
        <w:t xml:space="preserve">II. Market Context: Why Miami Demands Premium Graphic Design</w:t>
      </w:r>
    </w:p>
    <w:p>
      <w:pPr>
        <w:pStyle w:val="FirstParagraph"/>
      </w:pPr>
      <w:r>
        <w:t xml:space="preserve">United States Miami presents an unparalleled opportunity for graphic design services due to its concentration of high-value industries. As the gateway to Latin America and a global tourism hub, businesses here require culturally nuanced branding that resonates with both international travelers and local communities. Our Q3 data reveals that 68% of Miami-based clients prioritize "local market understanding" when selecting graphic designers—a critical differentiator from national firms. The city's $24 billion creative economy (per Miami-Dade County Economic Development Report, 2023) underscores the demand for specialized visual storytelling in sectors including hospitality, real estate development, and luxury retail.</w:t>
      </w:r>
    </w:p>
    <w:p>
      <w:pPr>
        <w:pStyle w:val="BodyText"/>
      </w:pPr>
      <w:r>
        <w:t xml:space="preserve">Notably, Miami’s Spanish-speaking population (71% of residents) necessitates bilingual design capabilities. In Q3 alone, we delivered 19 campaigns with integrated Spanish/English elements for clients like Ocean Drive Boutique Hotels and Wynwood Walls Cultural Center—directly contributing to 32% of our total Miami revenue.</w:t>
      </w:r>
    </w:p>
    <w:bookmarkEnd w:id="21"/>
    <w:bookmarkStart w:id="24" w:name="X2162cb2f8ce81ebd4530221ff60b2758fce613b"/>
    <w:p>
      <w:pPr>
        <w:pStyle w:val="Heading2"/>
      </w:pPr>
      <w:r>
        <w:t xml:space="preserve">III. Sales Performance Breakdown: United States Miami Segment</w:t>
      </w:r>
    </w:p>
    <w:bookmarkStart w:id="22" w:name="a.-revenue-growth-client-acquisition"/>
    <w:p>
      <w:pPr>
        <w:pStyle w:val="Heading3"/>
      </w:pPr>
      <w:r>
        <w:t xml:space="preserve">A. Revenue Growth &amp; Client Acquisition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Growth</w:t>
            </w:r>
          </w:p>
        </w:tc>
      </w:tr>
      <w:tr>
        <w:tc>
          <w:tcPr/>
          <w:p>
            <w:pPr>
              <w:pStyle w:val="Compact"/>
              <w:jc w:val="left"/>
            </w:pPr>
            <w:r>
              <w:t xml:space="preserve">Total Revenue (Miami)</w:t>
            </w:r>
          </w:p>
        </w:tc>
        <w:tc>
          <w:tcPr/>
          <w:p>
            <w:pPr>
              <w:pStyle w:val="Compact"/>
              <w:jc w:val="left"/>
            </w:pPr>
            <w:r>
              <w:t xml:space="preserve">$187,500</w:t>
            </w:r>
          </w:p>
        </w:tc>
        <w:tc>
          <w:tcPr/>
          <w:p>
            <w:pPr>
              <w:pStyle w:val="Compact"/>
              <w:jc w:val="left"/>
            </w:pPr>
            <w:r>
              <w:t xml:space="preserve">$146,400</w:t>
            </w:r>
          </w:p>
        </w:tc>
        <w:tc>
          <w:tcPr/>
          <w:p>
            <w:pPr>
              <w:pStyle w:val="Compact"/>
              <w:jc w:val="left"/>
            </w:pPr>
            <w:r>
              <w:t xml:space="preserve">+41.7%</w:t>
            </w:r>
          </w:p>
        </w:tc>
      </w:tr>
      <w:tr>
        <w:tc>
          <w:tcPr/>
          <w:p>
            <w:pPr>
              <w:pStyle w:val="Compact"/>
              <w:jc w:val="left"/>
            </w:pPr>
            <w:r>
              <w:t xml:space="preserve">New Clients Acquired</w:t>
            </w:r>
          </w:p>
        </w:tc>
        <w:tc>
          <w:tcPr>
            <w:gridSpan w:val="2"/>
          </w:tcPr>
          <w:p>
            <w:pPr>
              <w:pStyle w:val="Compact"/>
              <w:jc w:val="left"/>
            </w:pPr>
            <w:r>
              <w:t xml:space="preserve">37 (62% from referrals)</w:t>
            </w:r>
          </w:p>
        </w:tc>
        <w:tc>
          <w:tcPr/>
          <w:p>
            <w:pPr>
              <w:pStyle w:val="Compact"/>
              <w:jc w:val="left"/>
            </w:pPr>
            <w:r>
              <w:t xml:space="preserve">+</w:t>
            </w:r>
          </w:p>
        </w:tc>
      </w:tr>
      <w:tr>
        <w:tc>
          <w:tcPr/>
          <w:p>
            <w:pPr>
              <w:pStyle w:val="Compact"/>
              <w:jc w:val="left"/>
            </w:pPr>
            <w:r>
              <w:t xml:space="preserve">Avg. Project Value</w:t>
            </w:r>
          </w:p>
        </w:tc>
        <w:tc>
          <w:tcPr/>
          <w:p>
            <w:pPr>
              <w:pStyle w:val="Compact"/>
              <w:jc w:val="left"/>
            </w:pPr>
            <w:r>
              <w:t xml:space="preserve">$5,068</w:t>
            </w:r>
          </w:p>
        </w:tc>
        <w:tc>
          <w:tcPr/>
          <w:p>
            <w:pPr>
              <w:pStyle w:val="Compact"/>
              <w:jc w:val="left"/>
            </w:pPr>
            <w:r>
              <w:t xml:space="preserve">$4,300</w:t>
            </w:r>
          </w:p>
        </w:tc>
        <w:tc>
          <w:tcPr/>
          <w:p>
            <w:pPr>
              <w:pStyle w:val="Compact"/>
              <w:jc w:val="left"/>
            </w:pPr>
            <w:r>
              <w:t xml:space="preserve">+17.9%</w:t>
            </w:r>
          </w:p>
        </w:tc>
      </w:tr>
      <w:tr>
        <w:tc>
          <w:tcPr/>
          <w:p>
            <w:pPr>
              <w:pStyle w:val="Compact"/>
              <w:jc w:val="left"/>
            </w:pPr>
            <w:r>
              <w:t xml:space="preserve">Client Retention Rate</w:t>
            </w:r>
          </w:p>
        </w:tc>
        <w:tc>
          <w:tcPr>
            <w:gridSpan w:val="2"/>
          </w:tcPr>
          <w:p>
            <w:pPr>
              <w:pStyle w:val="Compact"/>
              <w:jc w:val="left"/>
            </w:pPr>
            <w:r>
              <w:t xml:space="preserve">78%</w:t>
            </w:r>
          </w:p>
        </w:tc>
        <w:tc>
          <w:tcPr/>
          <w:p>
            <w:pPr>
              <w:pStyle w:val="Compact"/>
            </w:pPr>
          </w:p>
        </w:tc>
      </w:tr>
    </w:tbl>
    <w:p>
      <w:pPr>
        <w:pStyle w:val="BodyText"/>
      </w:pPr>
      <w:r>
        <w:t xml:space="preserve">The 37 new Miami clients in Q3 included 8 tourism brands (e.g., Art Deco Hotel Group), 5 luxury real estate developers, and 4 digital startups—proving our positioning resonates with high-impact industries. Our referral program drove 62% of new business, leveraging Miami’s tight-knit creative community where word-of-mouth remains the most trusted acquisition channel.</w:t>
      </w:r>
    </w:p>
    <w:bookmarkEnd w:id="22"/>
    <w:bookmarkStart w:id="23" w:name="b.-graphic-designer-service-performance"/>
    <w:p>
      <w:pPr>
        <w:pStyle w:val="Heading3"/>
      </w:pPr>
      <w:r>
        <w:t xml:space="preserve">B. Graphic Designer Service Performance</w:t>
      </w:r>
    </w:p>
    <w:p>
      <w:pPr>
        <w:pStyle w:val="FirstParagraph"/>
      </w:pPr>
      <w:r>
        <w:t xml:space="preserve">Our graphic designers delivered exceptional results through service specialization tailored to Miami's needs:</w:t>
      </w:r>
    </w:p>
    <w:p>
      <w:pPr>
        <w:numPr>
          <w:ilvl w:val="0"/>
          <w:numId w:val="1001"/>
        </w:numPr>
        <w:pStyle w:val="Compact"/>
      </w:pPr>
      <w:r>
        <w:rPr>
          <w:bCs/>
          <w:b/>
        </w:rPr>
        <w:t xml:space="preserve">Branding &amp; Identity Packages:</w:t>
      </w:r>
      <w:r>
        <w:t xml:space="preserve"> </w:t>
      </w:r>
      <w:r>
        <w:t xml:space="preserve">42% of revenue, with clients like "Cocina Latina" restaurant chain expanding their visual language across Miami-Dade locations.</w:t>
      </w:r>
    </w:p>
    <w:p>
      <w:pPr>
        <w:numPr>
          <w:ilvl w:val="0"/>
          <w:numId w:val="1001"/>
        </w:numPr>
        <w:pStyle w:val="Compact"/>
      </w:pPr>
      <w:r>
        <w:rPr>
          <w:bCs/>
          <w:b/>
        </w:rPr>
        <w:t xml:space="preserve">Social Media Campaigns for Tourism:</w:t>
      </w:r>
      <w:r>
        <w:t xml:space="preserve"> </w:t>
      </w:r>
      <w:r>
        <w:t xml:space="preserve">31% revenue, including a high-converting Instagram campaign for Miami Beach Convention Center that increased event bookings by 23%.</w:t>
      </w:r>
    </w:p>
    <w:p>
      <w:pPr>
        <w:numPr>
          <w:ilvl w:val="0"/>
          <w:numId w:val="1001"/>
        </w:numPr>
        <w:pStyle w:val="Compact"/>
      </w:pPr>
      <w:r>
        <w:rPr>
          <w:bCs/>
          <w:b/>
        </w:rPr>
        <w:t xml:space="preserve">Print &amp; Environmental Design:</w:t>
      </w:r>
      <w:r>
        <w:t xml:space="preserve"> </w:t>
      </w:r>
      <w:r>
        <w:t xml:space="preserve">19% revenue, serving hospitality clients requiring cohesive in-room materials and signage (e.g., Mandarin Oriental, Miami).</w:t>
      </w:r>
    </w:p>
    <w:bookmarkEnd w:id="23"/>
    <w:bookmarkEnd w:id="24"/>
    <w:bookmarkStart w:id="25" w:name="iv.-key-challenges-strategic-solutions"/>
    <w:p>
      <w:pPr>
        <w:pStyle w:val="Heading2"/>
      </w:pPr>
      <w:r>
        <w:t xml:space="preserve">IV. Key Challenges &amp; Strategic Solutions</w:t>
      </w:r>
    </w:p>
    <w:p>
      <w:pPr>
        <w:pStyle w:val="FirstParagraph"/>
      </w:pPr>
      <w:r>
        <w:t xml:space="preserve">Miami's fast-paced market presents unique hurdles for graphic designers seeking sustainable growth:</w:t>
      </w:r>
    </w:p>
    <w:p>
      <w:pPr>
        <w:numPr>
          <w:ilvl w:val="0"/>
          <w:numId w:val="1002"/>
        </w:numPr>
        <w:pStyle w:val="Compact"/>
      </w:pPr>
      <w:r>
        <w:rPr>
          <w:bCs/>
          <w:b/>
        </w:rPr>
        <w:t xml:space="preserve">Client Expectation Management:</w:t>
      </w:r>
      <w:r>
        <w:t xml:space="preserve"> </w:t>
      </w:r>
      <w:r>
        <w:t xml:space="preserve">38% of Miami clients expect "same-day revisions" due to tourism industry urgency. Solution: Implemented our "Miami Speed Tier" package (24-hour turnaround guarantee) increasing client satisfaction by 41%.</w:t>
      </w:r>
    </w:p>
    <w:p>
      <w:pPr>
        <w:numPr>
          <w:ilvl w:val="0"/>
          <w:numId w:val="1002"/>
        </w:numPr>
        <w:pStyle w:val="Compact"/>
      </w:pPr>
      <w:r>
        <w:rPr>
          <w:bCs/>
          <w:b/>
        </w:rPr>
        <w:t xml:space="preserve">Competitive Pricing Pressure:</w:t>
      </w:r>
      <w:r>
        <w:t xml:space="preserve"> </w:t>
      </w:r>
      <w:r>
        <w:t xml:space="preserve">Local freelancers undercutting studio rates. Solution: Developed tiered service packages highlighting value (e.g., "Luxury Brand Bundle" with SEO integration at $9,500 vs. freelancer $3,200).</w:t>
      </w:r>
    </w:p>
    <w:p>
      <w:pPr>
        <w:numPr>
          <w:ilvl w:val="0"/>
          <w:numId w:val="1002"/>
        </w:numPr>
        <w:pStyle w:val="Compact"/>
      </w:pPr>
      <w:r>
        <w:rPr>
          <w:bCs/>
          <w:b/>
        </w:rPr>
        <w:t xml:space="preserve">Cultural Nuance Gaps:</w:t>
      </w:r>
      <w:r>
        <w:t xml:space="preserve"> </w:t>
      </w:r>
      <w:r>
        <w:t xml:space="preserve">Initial missteps in Hispanic market campaigns led to 17% project revisions. Solution: Added dedicated Spanish-speaking design specialists and cultural consultants to all Miami projects.</w:t>
      </w:r>
    </w:p>
    <w:bookmarkEnd w:id="25"/>
    <w:bookmarkStart w:id="26" w:name="Xa23a8e252cd764b165b62f951838a6ab6950fe4"/>
    <w:p>
      <w:pPr>
        <w:pStyle w:val="Heading2"/>
      </w:pPr>
      <w:r>
        <w:t xml:space="preserve">V. Future Growth Strategy for United States Miami</w:t>
      </w:r>
    </w:p>
    <w:p>
      <w:pPr>
        <w:pStyle w:val="FirstParagraph"/>
      </w:pPr>
      <w:r>
        <w:t xml:space="preserve">To capitalize on Miami's explosive creative potential, we propose three targeted initiatives:</w:t>
      </w:r>
    </w:p>
    <w:p>
      <w:pPr>
        <w:numPr>
          <w:ilvl w:val="0"/>
          <w:numId w:val="1003"/>
        </w:numPr>
        <w:pStyle w:val="Compact"/>
      </w:pPr>
      <w:r>
        <w:rPr>
          <w:bCs/>
          <w:b/>
        </w:rPr>
        <w:t xml:space="preserve">Localized Industry Hubs:</w:t>
      </w:r>
      <w:r>
        <w:t xml:space="preserve"> </w:t>
      </w:r>
      <w:r>
        <w:t xml:space="preserve">Establish a dedicated "Miami Tourism Design Team" focusing exclusively on hospitality clients (representing 34% of our current pipeline). Partner with Visit Miami to co-host quarterly branding workshops.</w:t>
      </w:r>
    </w:p>
    <w:p>
      <w:pPr>
        <w:numPr>
          <w:ilvl w:val="0"/>
          <w:numId w:val="1003"/>
        </w:numPr>
        <w:pStyle w:val="Compact"/>
      </w:pPr>
      <w:r>
        <w:rPr>
          <w:bCs/>
          <w:b/>
        </w:rPr>
        <w:t xml:space="preserve">Cross-Selling Premium Services:</w:t>
      </w:r>
      <w:r>
        <w:t xml:space="preserve"> </w:t>
      </w:r>
      <w:r>
        <w:t xml:space="preserve">Bundle graphic design with adjacent services (e.g., social media management) for 20% higher average project values. Already achieved in Q3 with 27 clients adopting our "Full-Service Miami Campaign" package.</w:t>
      </w:r>
    </w:p>
    <w:p>
      <w:pPr>
        <w:numPr>
          <w:ilvl w:val="0"/>
          <w:numId w:val="1003"/>
        </w:numPr>
        <w:pStyle w:val="Compact"/>
      </w:pPr>
      <w:r>
        <w:rPr>
          <w:bCs/>
          <w:b/>
        </w:rPr>
        <w:t xml:space="preserve">Digital Expansion:</w:t>
      </w:r>
      <w:r>
        <w:t xml:space="preserve"> </w:t>
      </w:r>
      <w:r>
        <w:t xml:space="preserve">Launch a Miami-specific LinkedIn campaign targeting real estate developers—identified as high-value prospects through our Salesforce data (15 new leads secured in September alone).</w:t>
      </w:r>
    </w:p>
    <w:bookmarkEnd w:id="26"/>
    <w:bookmarkStart w:id="27" w:name="X61f8536038cef0c23c5139cc842045bc8a1fd57"/>
    <w:p>
      <w:pPr>
        <w:pStyle w:val="Heading2"/>
      </w:pPr>
      <w:r>
        <w:t xml:space="preserve">VI. Conclusion: The Strategic Imperative of Miami</w:t>
      </w:r>
    </w:p>
    <w:p>
      <w:pPr>
        <w:pStyle w:val="FirstParagraph"/>
      </w:pPr>
      <w:r>
        <w:t xml:space="preserve">The United States Miami market is not merely a revenue contributor—it’s the strategic heartbeat of our graphic designer business. As evidenced by our Q3 results, businesses here demand design services that understand local culture, language, and commerce rhythms. Our 41% YoY growth demonstrates that specialized graphic design delivered with Miami-centric expertise directly drives client acquisition and retention.</w:t>
      </w:r>
    </w:p>
    <w:p>
      <w:pPr>
        <w:pStyle w:val="BodyText"/>
      </w:pPr>
      <w:r>
        <w:t xml:space="preserve">Going forward, we will deepen our investment in Miami-specific talent development (including a new "Latino Creative Leadership Program") and expand our studio presence into Wynwood—a creative district where 76% of design clients are located. By embedding ourselves within Miami’s creative ecosystem rather than just serving it, we position Creative Visions Studio as the undisputed graphic designer partner for growth-minded businesses across United States Miami.</w:t>
      </w:r>
    </w:p>
    <w:p>
      <w:pPr>
        <w:pStyle w:val="BodyText"/>
      </w:pPr>
      <w:r>
        <w:rPr>
          <w:bCs/>
          <w:b/>
        </w:rPr>
        <w:t xml:space="preserve">Next Steps:</w:t>
      </w:r>
      <w:r>
        <w:t xml:space="preserve"> </w:t>
      </w:r>
      <w:r>
        <w:t xml:space="preserve">Present detailed Miami expansion budget to leadership by November 15, 2023. Target: Achieve $240,000 in Q4 Miami revenue (36% YoY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Services Performance in United States Miami Market</dc:title>
  <dc:creator/>
  <dc:language>en</dc:language>
  <cp:keywords/>
  <dcterms:created xsi:type="dcterms:W3CDTF">2026-07-23T21:29:27Z</dcterms:created>
  <dcterms:modified xsi:type="dcterms:W3CDTF">2026-07-23T21:29:27Z</dcterms:modified>
</cp:coreProperties>
</file>

<file path=docProps/custom.xml><?xml version="1.0" encoding="utf-8"?>
<Properties xmlns="http://schemas.openxmlformats.org/officeDocument/2006/custom-properties" xmlns:vt="http://schemas.openxmlformats.org/officeDocument/2006/docPropsVTypes"/>
</file>