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Mumbai</w:t>
      </w:r>
      <w:r>
        <w:t xml:space="preserve"> </w:t>
      </w:r>
      <w:r>
        <w:t xml:space="preserve">Hairdresser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042bc569187f1374c0eaa82862c7a5303d52440"/>
    <w:p>
      <w:pPr>
        <w:pStyle w:val="Heading1"/>
      </w:pPr>
      <w:r>
        <w:t xml:space="preserve">Comprehensive Sales Report: Premium Hairdressing Salon Performance in India Mumbai</w:t>
      </w:r>
    </w:p>
    <w:bookmarkStart w:id="20" w:name="executive-summary"/>
    <w:p>
      <w:pPr>
        <w:pStyle w:val="Heading2"/>
      </w:pPr>
      <w:r>
        <w:t xml:space="preserve">Executive Summary</w:t>
      </w:r>
    </w:p>
    <w:p>
      <w:pPr>
        <w:pStyle w:val="FirstParagraph"/>
      </w:pPr>
      <w:r>
        <w:t xml:space="preserve">This quarterly sales report details the operational and financial performance of "Elite Cuts Salon" across all five locations in India Mumbai. Covering July to September 2023, the report demonstrates a 15% year-over-year revenue growth amid Mumbai's competitive hairdressing landscape. As a leading hairdresser establishment in India's financial capital, our strategic focus on premium services and community engagement has solidified our market position despite economic fluctuations. This document serves as both an internal performance audit and a strategic roadmap for India Mumbai's evolving beauty industry.</w:t>
      </w:r>
    </w:p>
    <w:bookmarkEnd w:id="20"/>
    <w:bookmarkStart w:id="21" w:name="Xb39a7f6bfb629eaa8f6dbd7cee01ba7af6b195f"/>
    <w:p>
      <w:pPr>
        <w:pStyle w:val="Heading2"/>
      </w:pPr>
      <w:r>
        <w:t xml:space="preserve">Market Context: Mumbai's Hairdressing Industry</w:t>
      </w:r>
    </w:p>
    <w:p>
      <w:pPr>
        <w:pStyle w:val="FirstParagraph"/>
      </w:pPr>
      <w:r>
        <w:t xml:space="preserve">India Mumbai represents the largest beauty market in South Asia, with haircare expenditure growing at 12% annually (IBEF 2023). The city's cosmopolitan population drives demand for specialized salon services, where a premium hairdresser isn't merely a service provider but a lifestyle curator. In this dynamic environment, our Mumbai-based salon network has distinguished itself through cultural sensitivity—adapting Western techniques to Indian hair types while respecting local beauty rituals. This report underscores how understanding Mumbai's unique market nuances directly impacts sales performance.</w:t>
      </w:r>
    </w:p>
    <w:bookmarkEnd w:id="21"/>
    <w:bookmarkStart w:id="22" w:name="q3-2023-sales-performance-overview"/>
    <w:p>
      <w:pPr>
        <w:pStyle w:val="Heading2"/>
      </w:pPr>
      <w:r>
        <w:t xml:space="preserve">Q3 2023 Sales Performance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w:t>
            </w:r>
          </w:p>
        </w:tc>
        <w:tc>
          <w:tcPr/>
          <w:p>
            <w:pPr>
              <w:pStyle w:val="Compact"/>
              <w:jc w:val="left"/>
            </w:pPr>
            <w:r>
              <w:t xml:space="preserve">Q3 2022 (₹)</w:t>
            </w:r>
          </w:p>
        </w:tc>
        <w:tc>
          <w:tcPr/>
          <w:p>
            <w:pPr>
              <w:pStyle w:val="Compact"/>
              <w:jc w:val="left"/>
            </w:pPr>
            <w:r>
              <w:t xml:space="preserve">YoY Change</w:t>
            </w:r>
          </w:p>
        </w:tc>
      </w:tr>
      <w:tr>
        <w:tc>
          <w:tcPr/>
          <w:p>
            <w:pPr>
              <w:pStyle w:val="Compact"/>
              <w:jc w:val="left"/>
            </w:pPr>
            <w:r>
              <w:t xml:space="preserve">Total Revenue</w:t>
            </w:r>
          </w:p>
        </w:tc>
        <w:tc>
          <w:tcPr/>
          <w:p>
            <w:pPr>
              <w:pStyle w:val="Compact"/>
              <w:jc w:val="left"/>
            </w:pPr>
            <w:r>
              <w:t xml:space="preserve">18,750,000</w:t>
            </w:r>
          </w:p>
        </w:tc>
        <w:tc>
          <w:tcPr/>
          <w:p>
            <w:pPr>
              <w:pStyle w:val="Compact"/>
              <w:jc w:val="left"/>
            </w:pPr>
            <w:r>
              <w:t xml:space="preserve">16,319,456</w:t>
            </w:r>
          </w:p>
        </w:tc>
        <w:tc>
          <w:tcPr/>
          <w:p>
            <w:pPr>
              <w:pStyle w:val="Compact"/>
              <w:jc w:val="left"/>
            </w:pPr>
            <w:r>
              <w:t xml:space="preserve">+15.2%</w:t>
            </w:r>
          </w:p>
        </w:tc>
      </w:tr>
      <w:tr>
        <w:tc>
          <w:tcPr/>
          <w:p>
            <w:pPr>
              <w:pStyle w:val="Compact"/>
              <w:jc w:val="left"/>
            </w:pPr>
            <w:r>
              <w:t xml:space="preserve">Average Transaction Value</w:t>
            </w:r>
          </w:p>
        </w:tc>
        <w:tc>
          <w:tcPr/>
          <w:p>
            <w:pPr>
              <w:pStyle w:val="Compact"/>
              <w:jc w:val="left"/>
            </w:pPr>
            <w:r>
              <w:t xml:space="preserve">3,245</w:t>
            </w:r>
          </w:p>
        </w:tc>
        <w:tc>
          <w:tcPr/>
          <w:p>
            <w:pPr>
              <w:pStyle w:val="Compact"/>
              <w:jc w:val="left"/>
            </w:pPr>
            <w:r>
              <w:t xml:space="preserve">2,987</w:t>
            </w:r>
          </w:p>
        </w:tc>
        <w:tc>
          <w:tcPr/>
          <w:p>
            <w:pPr>
              <w:pStyle w:val="Compact"/>
              <w:jc w:val="left"/>
            </w:pPr>
            <w:r>
              <w:t xml:space="preserve">+8.6%</w:t>
            </w:r>
          </w:p>
        </w:tc>
      </w:tr>
      <w:tr>
        <w:tc>
          <w:tcPr/>
          <w:p>
            <w:pPr>
              <w:pStyle w:val="Compact"/>
              <w:jc w:val="left"/>
            </w:pPr>
            <w:r>
              <w:t xml:space="preserve">Client Retention Rate</w:t>
            </w:r>
          </w:p>
        </w:tc>
        <w:tc>
          <w:tcPr/>
          <w:p>
            <w:pPr>
              <w:pStyle w:val="Compact"/>
              <w:jc w:val="left"/>
            </w:pPr>
            <w:r>
              <w:t xml:space="preserve">68%</w:t>
            </w:r>
          </w:p>
        </w:tc>
        <w:tc>
          <w:tcPr/>
          <w:p>
            <w:pPr>
              <w:pStyle w:val="Compact"/>
              <w:jc w:val="left"/>
            </w:pPr>
            <w:r>
              <w:t xml:space="preserve">62%</w:t>
            </w:r>
          </w:p>
        </w:tc>
        <w:tc>
          <w:tcPr/>
          <w:p>
            <w:pPr>
              <w:pStyle w:val="Compact"/>
              <w:jc w:val="left"/>
            </w:pPr>
            <w:r>
              <w:t xml:space="preserve">+6 pts</w:t>
            </w:r>
          </w:p>
        </w:tc>
      </w:tr>
      <w:tr>
        <w:tc>
          <w:tcPr/>
          <w:p>
            <w:pPr>
              <w:pStyle w:val="Compact"/>
              <w:jc w:val="left"/>
            </w:pPr>
            <w:r>
              <w:t xml:space="preserve">New Client Acquisition</w:t>
            </w:r>
          </w:p>
        </w:tc>
        <w:tc>
          <w:tcPr/>
          <w:p>
            <w:pPr>
              <w:pStyle w:val="Compact"/>
              <w:jc w:val="left"/>
            </w:pPr>
            <w:r>
              <w:t xml:space="preserve">1,245</w:t>
            </w:r>
          </w:p>
        </w:tc>
        <w:tc>
          <w:tcPr/>
          <w:p>
            <w:pPr>
              <w:pStyle w:val="Compact"/>
              <w:jc w:val="left"/>
            </w:pPr>
            <w:r>
              <w:t xml:space="preserve">983</w:t>
            </w:r>
          </w:p>
        </w:tc>
        <w:tc>
          <w:tcPr/>
          <w:p>
            <w:pPr>
              <w:pStyle w:val="Compact"/>
              <w:jc w:val="left"/>
            </w:pPr>
            <w:r>
              <w:t xml:space="preserve">+26.7%</w:t>
            </w:r>
          </w:p>
        </w:tc>
      </w:tr>
    </w:tbl>
    <w:p>
      <w:pPr>
        <w:pStyle w:val="BodyText"/>
      </w:pPr>
      <w:r>
        <w:t xml:space="preserve">The 15.2% revenue growth outpaces Mumbai's beauty industry average of 9.7%, directly attributable to our specialized hairdresser training programs and targeted marketing in Mumbai's high-income neighborhoods like Bandra and Juhu. Notably, the premium hair treatment category (including Ayurvedic oils and scalp therapies) contributed 38% of total revenue—significantly higher than the industry benchmark of 25%.</w:t>
      </w:r>
    </w:p>
    <w:bookmarkEnd w:id="22"/>
    <w:bookmarkStart w:id="23" w:name="X715461c4f069a9fee1b0e54599bd659d6581dd1"/>
    <w:p>
      <w:pPr>
        <w:pStyle w:val="Heading2"/>
      </w:pPr>
      <w:r>
        <w:t xml:space="preserve">Service Breakdown: Mumbai Consumer Preferences</w:t>
      </w:r>
    </w:p>
    <w:p>
      <w:pPr>
        <w:pStyle w:val="FirstParagraph"/>
      </w:pPr>
      <w:r>
        <w:t xml:space="preserve">Analysis reveals distinct service patterns across Mumbai's diverse demographics:</w:t>
      </w:r>
    </w:p>
    <w:p>
      <w:pPr>
        <w:numPr>
          <w:ilvl w:val="0"/>
          <w:numId w:val="1001"/>
        </w:numPr>
        <w:pStyle w:val="Compact"/>
      </w:pPr>
      <w:r>
        <w:rPr>
          <w:bCs/>
          <w:b/>
        </w:rPr>
        <w:t xml:space="preserve">Urban Professionals (35-45 years):</w:t>
      </w:r>
      <w:r>
        <w:t xml:space="preserve"> </w:t>
      </w:r>
      <w:r>
        <w:t xml:space="preserve">68% of transactions. Demand for "Quick Refresh" services (45-min cuts + color) surged by 22% as Mumbai's business elite prioritized time efficiency during workweek commutes.</w:t>
      </w:r>
    </w:p>
    <w:p>
      <w:pPr>
        <w:numPr>
          <w:ilvl w:val="0"/>
          <w:numId w:val="1001"/>
        </w:numPr>
        <w:pStyle w:val="Compact"/>
      </w:pPr>
      <w:r>
        <w:rPr>
          <w:bCs/>
          <w:b/>
        </w:rPr>
        <w:t xml:space="preserve">Bride-to-be Clients:</w:t>
      </w:r>
      <w:r>
        <w:t xml:space="preserve"> </w:t>
      </w:r>
      <w:r>
        <w:t xml:space="preserve">Accounted for 18% of high-value bookings (₹7,500+). Our Mumbai-exclusive "Bridal Glow" package saw 41% repeat bookings from wedding season clients, driven by our hairdresser's expertise in Indian bridal styling.</w:t>
      </w:r>
    </w:p>
    <w:p>
      <w:pPr>
        <w:numPr>
          <w:ilvl w:val="0"/>
          <w:numId w:val="1001"/>
        </w:numPr>
        <w:pStyle w:val="Compact"/>
      </w:pPr>
      <w:r>
        <w:rPr>
          <w:bCs/>
          <w:b/>
        </w:rPr>
        <w:t xml:space="preserve">Sustainable Beauty Seekers:</w:t>
      </w:r>
      <w:r>
        <w:t xml:space="preserve"> </w:t>
      </w:r>
      <w:r>
        <w:t xml:space="preserve">32% growth in organic product sales. Mumbai's eco-conscious consumers now drive demand for sulfate-free treatments, with our "Mumbai Green Salon" initiative becoming a key differentiator.</w:t>
      </w:r>
    </w:p>
    <w:bookmarkEnd w:id="23"/>
    <w:bookmarkStart w:id="24" w:name="customer-analysis-the-mumbai-connection"/>
    <w:p>
      <w:pPr>
        <w:pStyle w:val="Heading2"/>
      </w:pPr>
      <w:r>
        <w:t xml:space="preserve">Customer Analysis: The Mumbai Connection</w:t>
      </w:r>
    </w:p>
    <w:p>
      <w:pPr>
        <w:pStyle w:val="FirstParagraph"/>
      </w:pPr>
      <w:r>
        <w:t xml:space="preserve">Data from our CRM system reveals that 76% of new clients in India Mumbai discovered us through neighborhood recommendations—proving that trust-based referrals remain paramount in this community-oriented market. Our hairdresser team's local language proficiency (Hindi, Marathi, English) directly contributed to a 30% higher satisfaction rate among non-English speaking clients. Additionally, social media analytics show that Instagram campaigns featuring Mumbai landmarks (like Marine Drive and Gateway of India) generated 47% more engagement than generic content.</w:t>
      </w:r>
    </w:p>
    <w:bookmarkEnd w:id="24"/>
    <w:bookmarkStart w:id="25" w:name="challenges-in-india-mumbais-market"/>
    <w:p>
      <w:pPr>
        <w:pStyle w:val="Heading2"/>
      </w:pPr>
      <w:r>
        <w:t xml:space="preserve">Challenges in India Mumbai's Market</w:t>
      </w:r>
    </w:p>
    <w:p>
      <w:pPr>
        <w:pStyle w:val="FirstParagraph"/>
      </w:pPr>
      <w:r>
        <w:t xml:space="preserve">Despite strong performance, three challenges require strategic attention:</w:t>
      </w:r>
    </w:p>
    <w:p>
      <w:pPr>
        <w:numPr>
          <w:ilvl w:val="0"/>
          <w:numId w:val="1002"/>
        </w:numPr>
        <w:pStyle w:val="Compact"/>
      </w:pPr>
      <w:r>
        <w:rPr>
          <w:bCs/>
          <w:b/>
        </w:rPr>
        <w:t xml:space="preserve">Rising Operational Costs:</w:t>
      </w:r>
      <w:r>
        <w:t xml:space="preserve"> </w:t>
      </w:r>
      <w:r>
        <w:t xml:space="preserve">Property rents in Mumbai increased by 18% YoY, impacting our Bandra outlet. We're mitigating this through optimized scheduling to maximize chair utilization.</w:t>
      </w:r>
    </w:p>
    <w:p>
      <w:pPr>
        <w:numPr>
          <w:ilvl w:val="0"/>
          <w:numId w:val="1002"/>
        </w:numPr>
        <w:pStyle w:val="Compact"/>
      </w:pPr>
      <w:r>
        <w:rPr>
          <w:bCs/>
          <w:b/>
        </w:rPr>
        <w:t xml:space="preserve">Competition from Mass-Market Chains:</w:t>
      </w:r>
      <w:r>
        <w:t xml:space="preserve"> </w:t>
      </w:r>
      <w:r>
        <w:t xml:space="preserve">New low-cost salons are saturating lower-income areas like Dharavi. Our response includes launching "Mumbai Basics" package (₹899) for first-time clients, while maintaining premium positioning elsewhere.</w:t>
      </w:r>
    </w:p>
    <w:p>
      <w:pPr>
        <w:numPr>
          <w:ilvl w:val="0"/>
          <w:numId w:val="1002"/>
        </w:numPr>
        <w:pStyle w:val="Compact"/>
      </w:pPr>
      <w:r>
        <w:rPr>
          <w:bCs/>
          <w:b/>
        </w:rPr>
        <w:t xml:space="preserve">Seasonal Demand Fluctuations:</w:t>
      </w:r>
      <w:r>
        <w:t xml:space="preserve"> </w:t>
      </w:r>
      <w:r>
        <w:t xml:space="preserve">Monsoon months (July-September) typically see 15% lower footfall. This quarter, we offset this through "Monsoon Hair Revival" workshops at client homes in Mumbai suburbs.</w:t>
      </w:r>
    </w:p>
    <w:bookmarkEnd w:id="25"/>
    <w:bookmarkStart w:id="26" w:name="growth-strategies-for-india-mumbai"/>
    <w:p>
      <w:pPr>
        <w:pStyle w:val="Heading2"/>
      </w:pPr>
      <w:r>
        <w:t xml:space="preserve">Growth Strategies for India Mumbai</w:t>
      </w:r>
    </w:p>
    <w:p>
      <w:pPr>
        <w:pStyle w:val="FirstParagraph"/>
      </w:pPr>
      <w:r>
        <w:t xml:space="preserve">Based on this sales report, our Q4 strategy focuses on three pillars:</w:t>
      </w:r>
    </w:p>
    <w:p>
      <w:pPr>
        <w:numPr>
          <w:ilvl w:val="0"/>
          <w:numId w:val="1003"/>
        </w:numPr>
        <w:pStyle w:val="Compact"/>
      </w:pPr>
      <w:r>
        <w:rPr>
          <w:bCs/>
          <w:b/>
        </w:rPr>
        <w:t xml:space="preserve">Hyper-Localized Offerings:</w:t>
      </w:r>
      <w:r>
        <w:t xml:space="preserve"> </w:t>
      </w:r>
      <w:r>
        <w:t xml:space="preserve">Launching "Mumbai Hair Heroes" loyalty program with discounts at partner cafes (e.g., 10% off at Coffee Day in Andheri) to deepen community ties.</w:t>
      </w:r>
    </w:p>
    <w:p>
      <w:pPr>
        <w:numPr>
          <w:ilvl w:val="0"/>
          <w:numId w:val="1003"/>
        </w:numPr>
        <w:pStyle w:val="Compact"/>
      </w:pPr>
      <w:r>
        <w:rPr>
          <w:bCs/>
          <w:b/>
        </w:rPr>
        <w:t xml:space="preserve">Digital Expansion:</w:t>
      </w:r>
      <w:r>
        <w:t xml:space="preserve"> </w:t>
      </w:r>
      <w:r>
        <w:t xml:space="preserve">Developing an AI-powered app predicting Mumbai weather-based hair needs (e.g., suggesting humidity-resistant treatments during monsoons).</w:t>
      </w:r>
    </w:p>
    <w:p>
      <w:pPr>
        <w:numPr>
          <w:ilvl w:val="0"/>
          <w:numId w:val="1003"/>
        </w:numPr>
        <w:pStyle w:val="Compact"/>
      </w:pPr>
      <w:r>
        <w:rPr>
          <w:bCs/>
          <w:b/>
        </w:rPr>
        <w:t xml:space="preserve">Talent Development:</w:t>
      </w:r>
      <w:r>
        <w:t xml:space="preserve"> </w:t>
      </w:r>
      <w:r>
        <w:t xml:space="preserve">Partnering with Mumbai Institute of Design to create "India's First Hairdresser Apprenticeship Program," addressing the city's 23,000+ unmet professional training demand.</w:t>
      </w:r>
    </w:p>
    <w:bookmarkEnd w:id="26"/>
    <w:bookmarkStart w:id="27" w:name="X202205d75b31f582e476ca719c26070a368a758"/>
    <w:p>
      <w:pPr>
        <w:pStyle w:val="Heading2"/>
      </w:pPr>
      <w:r>
        <w:t xml:space="preserve">Conclusion: The Future of Hairdressing in India Mumbai</w:t>
      </w:r>
    </w:p>
    <w:p>
      <w:pPr>
        <w:pStyle w:val="FirstParagraph"/>
      </w:pPr>
      <w:r>
        <w:t xml:space="preserve">This sales report confirms that a successful hairdresser in India Mumbai must transcend transactional services to become a cultural partner. Our 15% YoY growth isn't accidental—it's the result of embedding ourselves within Mumbai's social fabric. As the city evolves, our commitment to understanding local needs (like post-wedding hair recovery for brides or pollution-resistant treatments for South Mumbai residents) will remain central to our sales strategy.</w:t>
      </w:r>
    </w:p>
    <w:p>
      <w:pPr>
        <w:pStyle w:val="BodyText"/>
      </w:pPr>
      <w:r>
        <w:t xml:space="preserve">Looking ahead, we project 20% revenue growth in 2024 through three initiatives directly responsive to Mumbai's market dynamics: expanding into Thane suburb with tailored pricing, introducing a "Mumbai Hair Health" certification for hairdresser staff (first in India), and hosting quarterly "City Style" events featuring local influencers. This sales report serves as both a testament to our current success and the blueprint for becoming the most trusted hairdressing institution in India Mumbai—where every appointment isn't just a service, but an investment in Mumbai's beauty narrative.</w:t>
      </w:r>
    </w:p>
    <w:p>
      <w:pPr>
        <w:pStyle w:val="BodyText"/>
      </w:pPr>
      <w:r>
        <w:rPr>
          <w:iCs/>
          <w:i/>
        </w:rPr>
        <w:t xml:space="preserve">Prepared by: Elite Cuts Salon Management | Date: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Mumbai Hairdresser Sales Report - Q3 2023</dc:title>
  <dc:creator/>
  <dc:language>en</dc:language>
  <cp:keywords/>
  <dcterms:created xsi:type="dcterms:W3CDTF">2025-12-10T13:55:59Z</dcterms:created>
  <dcterms:modified xsi:type="dcterms:W3CDTF">2025-12-10T13:55:59Z</dcterms:modified>
</cp:coreProperties>
</file>

<file path=docProps/custom.xml><?xml version="1.0" encoding="utf-8"?>
<Properties xmlns="http://schemas.openxmlformats.org/officeDocument/2006/custom-properties" xmlns:vt="http://schemas.openxmlformats.org/officeDocument/2006/docPropsVTypes"/>
</file>