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Lumina</w:t>
      </w:r>
      <w:r>
        <w:t xml:space="preserve"> </w:t>
      </w:r>
      <w:r>
        <w:t xml:space="preserve">Salon</w:t>
      </w:r>
      <w:r>
        <w:t xml:space="preserve"> </w:t>
      </w:r>
      <w:r>
        <w:t xml:space="preserve">Jakarta</w:t>
      </w:r>
      <w:r>
        <w:t xml:space="preserve"> </w:t>
      </w:r>
      <w:r>
        <w:t xml:space="preserve">-</w:t>
      </w:r>
      <w:r>
        <w:t xml:space="preserve"> </w:t>
      </w:r>
      <w:r>
        <w:t xml:space="preserve">Hairdresser</w:t>
      </w:r>
      <w:r>
        <w:t xml:space="preserve"> </w:t>
      </w:r>
      <w:r>
        <w:t xml:space="preserve">Performance</w:t>
      </w:r>
      <w:r>
        <w:t xml:space="preserve"> </w:t>
      </w:r>
      <w:r>
        <w:t xml:space="preserve">Analysis</w:t>
      </w:r>
    </w:p>
    <w:bookmarkStart w:id="26" w:name="X38a158db8c457dbeb311f0ae8a5ab455215c12c"/>
    <w:p>
      <w:pPr>
        <w:pStyle w:val="Heading1"/>
      </w:pPr>
      <w:r>
        <w:t xml:space="preserve">Q3 2024 Quarterly Sales Report: Lumina Salon Jakarta - Hairdresser Operations &amp; Market Performance</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Management Team, Lumina Salon Jakarta</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Sales Report details the financial and operational performance of Lumina Salon Jakarta during Q3 2024. As a premium hairdresser service provider operating across key districts including Senayan, Kemang, and Kuningan, Lumina has demonstrated robust growth driven by strategic adaptation to Indonesia Jakarta's dynamic beauty market. Total revenue reached IDR 1.87 billion (USD $125,000), marking a 12.4% quarterly increase and 32% year-over-year growth. Client retention improved to 68%, with hairdresser staff productivity reaching an industry-leading average of 7 client appointments per day—exceeding Jakarta market benchmarks by 18%. This performance underscores Lumina's position as a top-tier hairdresser salon in Indonesia's capital city.</w:t>
      </w:r>
    </w:p>
    <w:bookmarkEnd w:id="20"/>
    <w:bookmarkStart w:id="21" w:name="key-sales-metrics-performance"/>
    <w:p>
      <w:pPr>
        <w:pStyle w:val="Heading2"/>
      </w:pPr>
      <w:r>
        <w:t xml:space="preserve">Key Sales Metrics &amp;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2024</w:t>
            </w:r>
          </w:p>
        </w:tc>
        <w:tc>
          <w:tcPr/>
          <w:p>
            <w:pPr>
              <w:pStyle w:val="Compact"/>
              <w:jc w:val="left"/>
            </w:pPr>
            <w:r>
              <w:t xml:space="preserve">Q2 2024</w:t>
            </w:r>
          </w:p>
        </w:tc>
        <w:tc>
          <w:tcPr/>
          <w:p>
            <w:pPr>
              <w:pStyle w:val="Compact"/>
              <w:jc w:val="left"/>
            </w:pPr>
            <w:r>
              <w:t xml:space="preserve">YoY Change</w:t>
            </w:r>
          </w:p>
        </w:tc>
      </w:tr>
      <w:tr>
        <w:tc>
          <w:tcPr/>
          <w:p>
            <w:pPr>
              <w:pStyle w:val="Compact"/>
              <w:jc w:val="left"/>
            </w:pPr>
            <w:r>
              <w:t xml:space="preserve">Total Revenue (IDR)</w:t>
            </w:r>
          </w:p>
        </w:tc>
        <w:tc>
          <w:tcPr/>
          <w:p>
            <w:pPr>
              <w:pStyle w:val="Compact"/>
              <w:jc w:val="left"/>
            </w:pPr>
            <w:r>
              <w:t xml:space="preserve">1,870,500,000</w:t>
            </w:r>
          </w:p>
        </w:tc>
        <w:tc>
          <w:tcPr/>
          <w:p>
            <w:pPr>
              <w:pStyle w:val="Compact"/>
              <w:jc w:val="left"/>
            </w:pPr>
            <w:r>
              <w:t xml:space="preserve">1,664,352,499</w:t>
            </w:r>
          </w:p>
        </w:tc>
        <w:tc>
          <w:tcPr/>
          <w:p>
            <w:pPr>
              <w:pStyle w:val="Compact"/>
              <w:jc w:val="left"/>
            </w:pPr>
            <w:r>
              <w:t xml:space="preserve">+32.1%</w:t>
            </w:r>
          </w:p>
        </w:tc>
      </w:tr>
      <w:tr>
        <w:tc>
          <w:tcPr/>
          <w:p>
            <w:pPr>
              <w:pStyle w:val="Compact"/>
              <w:jc w:val="left"/>
            </w:pPr>
            <w:r>
              <w:t xml:space="preserve">Average Ticket Size (IDR)</w:t>
            </w:r>
          </w:p>
        </w:tc>
        <w:tc>
          <w:tcPr/>
          <w:p>
            <w:pPr>
              <w:pStyle w:val="Compact"/>
              <w:jc w:val="left"/>
            </w:pPr>
            <w:r>
              <w:t xml:space="preserve">375,800</w:t>
            </w:r>
          </w:p>
        </w:tc>
        <w:tc>
          <w:tcPr/>
          <w:p>
            <w:pPr>
              <w:pStyle w:val="Compact"/>
              <w:jc w:val="left"/>
            </w:pPr>
            <w:r>
              <w:t xml:space="preserve">356,200</w:t>
            </w:r>
          </w:p>
        </w:tc>
        <w:tc>
          <w:tcPr/>
          <w:p>
            <w:pPr>
              <w:pStyle w:val="Compact"/>
              <w:jc w:val="left"/>
            </w:pPr>
            <w:r>
              <w:t xml:space="preserve">+5.5%</w:t>
            </w:r>
          </w:p>
        </w:tc>
      </w:tr>
      <w:tr>
        <w:tc>
          <w:tcPr/>
          <w:p>
            <w:pPr>
              <w:pStyle w:val="Compact"/>
              <w:jc w:val="left"/>
            </w:pPr>
            <w:r>
              <w:t xml:space="preserve">New Clients Acquired</w:t>
            </w:r>
          </w:p>
        </w:tc>
        <w:tc>
          <w:tcPr/>
          <w:p>
            <w:pPr>
              <w:pStyle w:val="Compact"/>
              <w:jc w:val="left"/>
            </w:pPr>
            <w:r>
              <w:t xml:space="preserve">427</w:t>
            </w:r>
          </w:p>
        </w:tc>
        <w:tc>
          <w:tcPr/>
          <w:p>
            <w:pPr>
              <w:pStyle w:val="Compact"/>
              <w:jc w:val="left"/>
            </w:pPr>
            <w:r>
              <w:t xml:space="preserve">361</w:t>
            </w:r>
          </w:p>
        </w:tc>
        <w:tc>
          <w:tcPr/>
          <w:p>
            <w:pPr>
              <w:pStyle w:val="Compact"/>
              <w:jc w:val="left"/>
            </w:pPr>
            <w:r>
              <w:t xml:space="preserve">+18.3%</w:t>
            </w:r>
          </w:p>
        </w:tc>
      </w:tr>
      <w:tr>
        <w:tc>
          <w:tcPr/>
          <w:p>
            <w:pPr>
              <w:pStyle w:val="Compact"/>
              <w:jc w:val="left"/>
            </w:pPr>
            <w:r>
              <w:t xml:space="preserve">Repeat Client Rate</w:t>
            </w:r>
          </w:p>
        </w:tc>
        <w:tc>
          <w:tcPr/>
          <w:p>
            <w:pPr>
              <w:pStyle w:val="Compact"/>
              <w:jc w:val="left"/>
            </w:pPr>
            <w:r>
              <w:t xml:space="preserve">68%</w:t>
            </w:r>
          </w:p>
        </w:tc>
        <w:tc>
          <w:tcPr/>
          <w:p>
            <w:pPr>
              <w:pStyle w:val="Compact"/>
              <w:jc w:val="left"/>
            </w:pPr>
            <w:r>
              <w:t xml:space="preserve">59%</w:t>
            </w:r>
          </w:p>
        </w:tc>
        <w:tc>
          <w:tcPr/>
          <w:p>
            <w:pPr>
              <w:pStyle w:val="Compact"/>
              <w:jc w:val="left"/>
            </w:pPr>
            <w:r>
              <w:t xml:space="preserve">+9 pts</w:t>
            </w:r>
          </w:p>
        </w:tc>
      </w:tr>
      <w:tr>
        <w:tc>
          <w:tcPr/>
          <w:p>
            <w:pPr>
              <w:pStyle w:val="Compact"/>
              <w:jc w:val="left"/>
            </w:pPr>
            <w:r>
              <w:t xml:space="preserve">Hairdresser Utilization Rate</w:t>
            </w:r>
          </w:p>
        </w:tc>
        <w:tc>
          <w:tcPr/>
          <w:p>
            <w:pPr>
              <w:pStyle w:val="Compact"/>
              <w:jc w:val="left"/>
            </w:pPr>
            <w:r>
              <w:t xml:space="preserve">87.4%</w:t>
            </w:r>
          </w:p>
        </w:tc>
        <w:tc>
          <w:tcPr/>
          <w:p>
            <w:pPr>
              <w:pStyle w:val="Compact"/>
              <w:jc w:val="left"/>
            </w:pPr>
            <w:r>
              <w:t xml:space="preserve">81.2%</w:t>
            </w:r>
          </w:p>
        </w:tc>
        <w:tc>
          <w:tcPr/>
          <w:p>
            <w:pPr>
              <w:pStyle w:val="Compact"/>
              <w:jc w:val="left"/>
            </w:pPr>
            <w:r>
              <w:t xml:space="preserve">+6.2 pts</w:t>
            </w:r>
          </w:p>
        </w:tc>
      </w:tr>
    </w:tbl>
    <w:bookmarkEnd w:id="21"/>
    <w:bookmarkStart w:id="22" w:name="X7fbe145c219d7a327f2bf90da50880356873fd7"/>
    <w:p>
      <w:pPr>
        <w:pStyle w:val="Heading2"/>
      </w:pPr>
      <w:r>
        <w:t xml:space="preserve">Market Analysis: Jakarta's Hairdressing Landscape</w:t>
      </w:r>
    </w:p>
    <w:p>
      <w:pPr>
        <w:pStyle w:val="FirstParagraph"/>
      </w:pPr>
      <w:r>
        <w:t xml:space="preserve">Lumina Salon Jakarta's success is intrinsically linked to strategic alignment with Indonesia Jakarta’s evolving beauty consumer behavior. Q3 data reveals critical market trends:</w:t>
      </w:r>
    </w:p>
    <w:p>
      <w:pPr>
        <w:numPr>
          <w:ilvl w:val="0"/>
          <w:numId w:val="1001"/>
        </w:numPr>
        <w:pStyle w:val="Compact"/>
      </w:pPr>
      <w:r>
        <w:rPr>
          <w:bCs/>
          <w:b/>
        </w:rPr>
        <w:t xml:space="preserve">Social Media-Driven Demand:</w:t>
      </w:r>
      <w:r>
        <w:t xml:space="preserve"> </w:t>
      </w:r>
      <w:r>
        <w:t xml:space="preserve">64% of new clients discovered Lumina via Instagram/TikTok, reflecting Jakarta's influencer culture. Services like "Korean-inspired balayage" and "natural keratin treatments" generated 28% of total bookings.</w:t>
      </w:r>
    </w:p>
    <w:p>
      <w:pPr>
        <w:numPr>
          <w:ilvl w:val="0"/>
          <w:numId w:val="1001"/>
        </w:numPr>
        <w:pStyle w:val="Compact"/>
      </w:pPr>
      <w:r>
        <w:rPr>
          <w:bCs/>
          <w:b/>
        </w:rPr>
        <w:t xml:space="preserve">Seasonal Weather Adaptation:</w:t>
      </w:r>
      <w:r>
        <w:t xml:space="preserve"> </w:t>
      </w:r>
      <w:r>
        <w:t xml:space="preserve">Monsoon season (July-August) increased demand for quick-dry treatments (+41%) and protective styling services. Our "Rainy Season Revival Package" contributed IDR 315 million in revenue.</w:t>
      </w:r>
    </w:p>
    <w:p>
      <w:pPr>
        <w:numPr>
          <w:ilvl w:val="0"/>
          <w:numId w:val="1001"/>
        </w:numPr>
        <w:pStyle w:val="Compact"/>
      </w:pPr>
      <w:r>
        <w:rPr>
          <w:bCs/>
          <w:b/>
        </w:rPr>
        <w:t xml:space="preserve">Demographic Shifts:</w:t>
      </w:r>
      <w:r>
        <w:t xml:space="preserve"> </w:t>
      </w:r>
      <w:r>
        <w:t xml:space="preserve">68% of clients are women aged 20-35 (Jakarta's core market), with growing demand for modesty-focused services (e.g., "hijab-friendly haircuts" +23%). Expatriate clients in Kuningan district drove premium service uptake (+19% for international packages).</w:t>
      </w:r>
    </w:p>
    <w:p>
      <w:pPr>
        <w:numPr>
          <w:ilvl w:val="0"/>
          <w:numId w:val="1001"/>
        </w:numPr>
        <w:pStyle w:val="Compact"/>
      </w:pPr>
      <w:r>
        <w:rPr>
          <w:bCs/>
          <w:b/>
        </w:rPr>
        <w:t xml:space="preserve">Payment Method Evolution:</w:t>
      </w:r>
      <w:r>
        <w:t xml:space="preserve"> </w:t>
      </w:r>
      <w:r>
        <w:t xml:space="preserve">Digital payments now represent 84% of transactions (GoPay, OVO), a 35% increase from Q2—critical for Jakarta's cashless urban culture.</w:t>
      </w:r>
    </w:p>
    <w:bookmarkEnd w:id="22"/>
    <w:bookmarkStart w:id="23" w:name="key-challenges-in-indonesia-jakarta"/>
    <w:p>
      <w:pPr>
        <w:pStyle w:val="Heading2"/>
      </w:pPr>
      <w:r>
        <w:t xml:space="preserve">Key Challenges in Indonesia Jakarta</w:t>
      </w:r>
    </w:p>
    <w:p>
      <w:pPr>
        <w:pStyle w:val="FirstParagraph"/>
      </w:pPr>
      <w:r>
        <w:t xml:space="preserve">Operating as a hairdresser in Jakarta presents unique challenges requiring agile solutions:</w:t>
      </w:r>
    </w:p>
    <w:p>
      <w:pPr>
        <w:numPr>
          <w:ilvl w:val="0"/>
          <w:numId w:val="1002"/>
        </w:numPr>
        <w:pStyle w:val="Compact"/>
      </w:pPr>
      <w:r>
        <w:rPr>
          <w:bCs/>
          <w:b/>
        </w:rPr>
        <w:t xml:space="preserve">Rising Operational Costs:</w:t>
      </w:r>
      <w:r>
        <w:t xml:space="preserve"> </w:t>
      </w:r>
      <w:r>
        <w:t xml:space="preserve">Rent hikes (14% in Senayan) and ingredient inflation pressured margins. Lumina mitigated this by optimizing appointment slots for 85% occupancy vs. industry avg. of 72%.</w:t>
      </w:r>
    </w:p>
    <w:p>
      <w:pPr>
        <w:numPr>
          <w:ilvl w:val="0"/>
          <w:numId w:val="1002"/>
        </w:numPr>
        <w:pStyle w:val="Compact"/>
      </w:pPr>
      <w:r>
        <w:rPr>
          <w:bCs/>
          <w:b/>
        </w:rPr>
        <w:t xml:space="preserve">Competition from Chains:</w:t>
      </w:r>
      <w:r>
        <w:t xml:space="preserve"> </w:t>
      </w:r>
      <w:r>
        <w:t xml:space="preserve">New salon openings (e.g., "Glow Salon") captured 12% of mid-tier market share in Kemang. Lumina countered with personalized loyalty programs—reducing client churn by 15%.</w:t>
      </w:r>
    </w:p>
    <w:p>
      <w:pPr>
        <w:numPr>
          <w:ilvl w:val="0"/>
          <w:numId w:val="1002"/>
        </w:numPr>
        <w:pStyle w:val="Compact"/>
      </w:pPr>
      <w:r>
        <w:rPr>
          <w:bCs/>
          <w:b/>
        </w:rPr>
        <w:t xml:space="preserve">Cultural Nuances:</w:t>
      </w:r>
      <w:r>
        <w:t xml:space="preserve"> </w:t>
      </w:r>
      <w:r>
        <w:t xml:space="preserve">Misalignment on service expectations (e.g., clients requesting "no visible roots" during Ramadan) caused 8% of booking cancellations. Staff training on Jakarta-specific cultural norms reduced this to 3% in Q3.</w:t>
      </w:r>
    </w:p>
    <w:bookmarkEnd w:id="23"/>
    <w:bookmarkStart w:id="24" w:name="X38822ef90894df5e635cf005e98acbcf69bc6b5"/>
    <w:p>
      <w:pPr>
        <w:pStyle w:val="Heading2"/>
      </w:pPr>
      <w:r>
        <w:t xml:space="preserve">Strategic Recommendations for Hairdresser Growth</w:t>
      </w:r>
    </w:p>
    <w:p>
      <w:pPr>
        <w:pStyle w:val="FirstParagraph"/>
      </w:pPr>
      <w:r>
        <w:t xml:space="preserve">To sustain momentum in Indonesia Jakarta's competitive market, Lumina must implement these action-oriented strategies:</w:t>
      </w:r>
    </w:p>
    <w:p>
      <w:pPr>
        <w:numPr>
          <w:ilvl w:val="0"/>
          <w:numId w:val="1003"/>
        </w:numPr>
        <w:pStyle w:val="Compact"/>
      </w:pPr>
      <w:r>
        <w:rPr>
          <w:bCs/>
          <w:b/>
        </w:rPr>
        <w:t xml:space="preserve">Expand Digital Experience:</w:t>
      </w:r>
      <w:r>
        <w:t xml:space="preserve"> </w:t>
      </w:r>
      <w:r>
        <w:t xml:space="preserve">Launch a Jakarta-specific booking app with AI recommendations (e.g., "Monsoon-Ready Haircare" suggestions), targeting 25% digital conversion by Q1 2025. This directly addresses Jakarta's tech-savvy youth market.</w:t>
      </w:r>
    </w:p>
    <w:p>
      <w:pPr>
        <w:numPr>
          <w:ilvl w:val="0"/>
          <w:numId w:val="1003"/>
        </w:numPr>
        <w:pStyle w:val="Compact"/>
      </w:pPr>
      <w:r>
        <w:rPr>
          <w:bCs/>
          <w:b/>
        </w:rPr>
        <w:t xml:space="preserve">Localized Service Bundling:</w:t>
      </w:r>
      <w:r>
        <w:t xml:space="preserve"> </w:t>
      </w:r>
      <w:r>
        <w:t xml:space="preserve">Introduce "Jakarta Wedding Package" (bridal styling + makeup) in collaboration with local event planners. Capitalize on Indonesia's high wedding season (Sept–Dec), projected to generate IDR 500M+ revenue.</w:t>
      </w:r>
    </w:p>
    <w:p>
      <w:pPr>
        <w:numPr>
          <w:ilvl w:val="0"/>
          <w:numId w:val="1003"/>
        </w:numPr>
        <w:pStyle w:val="Compact"/>
      </w:pPr>
      <w:r>
        <w:rPr>
          <w:bCs/>
          <w:b/>
        </w:rPr>
        <w:t xml:space="preserve">Sustainable Product Integration:</w:t>
      </w:r>
      <w:r>
        <w:t xml:space="preserve"> </w:t>
      </w:r>
      <w:r>
        <w:t xml:space="preserve">Source eco-friendly haircare from Indonesian producers (e.g., coconut-based treatments) to align with Jakarta's growing green consciousness. Early trials increased client satisfaction scores by 37%.</w:t>
      </w:r>
    </w:p>
    <w:bookmarkEnd w:id="24"/>
    <w:bookmarkStart w:id="25" w:name="X4692a15f00f7b2e7ea8cb17f890b150df8d8000"/>
    <w:p>
      <w:pPr>
        <w:pStyle w:val="Heading2"/>
      </w:pPr>
      <w:r>
        <w:t xml:space="preserve">Conclusion: Positioning as Jakarta's Premier Hairdresser</w:t>
      </w:r>
    </w:p>
    <w:p>
      <w:pPr>
        <w:pStyle w:val="FirstParagraph"/>
      </w:pPr>
      <w:r>
        <w:t xml:space="preserve">The Q3 2024 Sales Report confirms that Lumina Salon Jakarta has successfully navigated the complexities of Indonesia's beauty market. By prioritizing hyper-localized strategies—adapting services to monsoon seasons, cultural preferences, and digital trends—we have outpaced Jakarta's hairdressing sector growth (industry avg.: +7.2% YoY). The hairdresser team’s commitment to personalized client experiences has cemented our reputation as a trusted service provider across Indonesia's most demanding urban market.</w:t>
      </w:r>
    </w:p>
    <w:p>
      <w:pPr>
        <w:pStyle w:val="BodyText"/>
      </w:pPr>
      <w:r>
        <w:t xml:space="preserve">Looking ahead, Lumina will focus on scaling premium services in Jakarta's emerging districts (e.g., Cipete Selatan) while doubling down on digital engagement. As the city’s population grows to 12 million and disposable income rises, our data-driven approach ensures we remain not just a hairdresser salon, but the preferred beauty partner for Jakarta residents. This report underscores that in Indonesia Jakarta’s competitive landscape, agility, cultural intelligence, and client-centric innovation are non-negotiable for sales success.</w:t>
      </w:r>
    </w:p>
    <w:p>
      <w:pPr>
        <w:pStyle w:val="BodyText"/>
      </w:pPr>
      <w:r>
        <w:rPr>
          <w:bCs/>
          <w:b/>
        </w:rPr>
        <w:t xml:space="preserve">Prepared by:</w:t>
      </w:r>
      <w:r>
        <w:t xml:space="preserve"> </w:t>
      </w:r>
      <w:r>
        <w:t xml:space="preserve">Sales &amp; Strategy Department</w:t>
      </w:r>
      <w:r>
        <w:br/>
      </w:r>
      <w:r>
        <w:rPr>
          <w:bCs/>
          <w:b/>
        </w:rPr>
        <w:t xml:space="preserve">Lumina Salon Jakarta</w:t>
      </w:r>
      <w:r>
        <w:br/>
      </w:r>
      <w:r>
        <w:rPr>
          <w:iCs/>
          <w:i/>
        </w:rPr>
        <w:t xml:space="preserve">Your Partner in Radiant Hair Since 2018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Lumina Salon Jakarta - Hairdresser Performance Analysis</dc:title>
  <dc:creator/>
  <dc:language>en</dc:language>
  <cp:keywords/>
  <dcterms:created xsi:type="dcterms:W3CDTF">2025-12-11T00:24:31Z</dcterms:created>
  <dcterms:modified xsi:type="dcterms:W3CDTF">2025-12-11T00:24:31Z</dcterms:modified>
</cp:coreProperties>
</file>

<file path=docProps/custom.xml><?xml version="1.0" encoding="utf-8"?>
<Properties xmlns="http://schemas.openxmlformats.org/officeDocument/2006/custom-properties" xmlns:vt="http://schemas.openxmlformats.org/officeDocument/2006/docPropsVTypes"/>
</file>