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Operations</w:t>
      </w:r>
    </w:p>
    <w:bookmarkStart w:id="27" w:name="X9d2b3e07c612e5697181ad02fc014070e80f5ce"/>
    <w:p>
      <w:pPr>
        <w:pStyle w:val="Heading1"/>
      </w:pPr>
      <w:r>
        <w:t xml:space="preserve">Human Resources Sales Performance Report: Germany Berlin Division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Headquarters</w:t>
      </w:r>
      <w:r>
        <w:br/>
      </w:r>
      <w:r>
        <w:rPr>
          <w:bCs/>
          <w:b/>
        </w:rPr>
        <w:t xml:space="preserve">From:</w:t>
      </w:r>
      <w:r>
        <w:t xml:space="preserve"> </w:t>
      </w:r>
      <w:r>
        <w:t xml:space="preserve">Human Resources Department, Berlin Office</w:t>
      </w:r>
      <w:r>
        <w:br/>
      </w:r>
      <w:r>
        <w:rPr>
          <w:bCs/>
          <w:b/>
        </w:rPr>
        <w:t xml:space="preserve">Subject:</w:t>
      </w:r>
      <w:r>
        <w:t xml:space="preserve"> </w:t>
      </w:r>
      <w:r>
        <w:t xml:space="preserve">Comprehensive Analysis of HR-Driven Sales Performance in Germany's Berlin Market</w:t>
      </w:r>
    </w:p>
    <w:bookmarkStart w:id="20" w:name="i.-executive-summary"/>
    <w:p>
      <w:pPr>
        <w:pStyle w:val="Heading2"/>
      </w:pPr>
      <w:r>
        <w:t xml:space="preserve">I. Executive Summary</w:t>
      </w:r>
    </w:p>
    <w:p>
      <w:pPr>
        <w:pStyle w:val="FirstParagraph"/>
      </w:pPr>
      <w:r>
        <w:t xml:space="preserve">This Sales Report presents a strategic analysis of Human Resources Manager-led initiatives that directly influenced sales performance within Germany Berlin. As the pivotal hub for Central European operations, Berlin's sales teams achieved 108% of annual targets through HR-driven talent optimization, with a 32% reduction in critical role vacancies and 19% higher employee retention than regional averages. This report demonstrates how our Human Resources Manager in Berlin has transformed talent acquisition and development into a core sales growth engine, aligning with Germany's stringent labor regulations while maximizing market competitiveness.</w:t>
      </w:r>
    </w:p>
    <w:bookmarkEnd w:id="20"/>
    <w:bookmarkStart w:id="21" w:name="Xdef548966a5b659d20eb75b35a6c7be1697da9f"/>
    <w:p>
      <w:pPr>
        <w:pStyle w:val="Heading2"/>
      </w:pPr>
      <w:r>
        <w:t xml:space="preserve">II. Strategic Context: HR as a Sales Catalyst in Berlin</w:t>
      </w:r>
    </w:p>
    <w:p>
      <w:pPr>
        <w:pStyle w:val="FirstParagraph"/>
      </w:pPr>
      <w:r>
        <w:t xml:space="preserve">In Germany's highly regulated labor market, the Human Resources Manager operates within strict frameworks like the General Equal Treatment Act (AGG) and Works Constitution Act (BetrVG). Our Berlin-based HR team has uniquely integrated these legal requirements with sales performance metrics. By embedding HR strategy within sales planning cycles – rather than treating it as a separate function – we've created a 360-degree talent ecosystem where recruitment, development, and retention directly impact revenue generation. This approach is essential in Berlin's competitive tech-sales landscape where talent acquisition costs are 41% above EU average (German Federal Statistical Office, 2023).</w:t>
      </w:r>
    </w:p>
    <w:bookmarkEnd w:id="21"/>
    <w:bookmarkStart w:id="22" w:name="X09869bd149a4ff8a9da11b7ead113f26d00c67a"/>
    <w:p>
      <w:pPr>
        <w:pStyle w:val="Heading2"/>
      </w:pPr>
      <w:r>
        <w:t xml:space="preserve">III. Key Performance Indicators: HR-Sales Integration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Category</w:t>
            </w:r>
          </w:p>
        </w:tc>
        <w:tc>
          <w:tcPr/>
          <w:p>
            <w:pPr>
              <w:pStyle w:val="Compact"/>
              <w:jc w:val="left"/>
            </w:pPr>
            <w:r>
              <w:t xml:space="preserve">Q3 2023 Berlin vs. Target</w:t>
            </w:r>
          </w:p>
        </w:tc>
        <w:tc>
          <w:tcPr/>
          <w:p>
            <w:pPr>
              <w:pStyle w:val="Compact"/>
              <w:jc w:val="left"/>
            </w:pPr>
            <w:r>
              <w:t xml:space="preserve">Industry Benchmark (Germany)</w:t>
            </w:r>
          </w:p>
        </w:tc>
        <w:tc>
          <w:tcPr/>
          <w:p>
            <w:pPr>
              <w:pStyle w:val="Compact"/>
              <w:jc w:val="left"/>
            </w:pPr>
            <w:r>
              <w:t xml:space="preserve">Impact on Sales Performance</w:t>
            </w:r>
          </w:p>
        </w:tc>
      </w:tr>
      <w:tr>
        <w:tc>
          <w:tcPr/>
          <w:p>
            <w:pPr>
              <w:pStyle w:val="Compact"/>
              <w:jc w:val="left"/>
            </w:pPr>
            <w:r>
              <w:t xml:space="preserve">Average Time-to-Fill Sales Roles</w:t>
            </w:r>
          </w:p>
        </w:tc>
        <w:tc>
          <w:tcPr/>
          <w:p>
            <w:pPr>
              <w:pStyle w:val="Compact"/>
              <w:jc w:val="left"/>
            </w:pPr>
            <w:r>
              <w:rPr>
                <w:bCs/>
                <w:b/>
              </w:rPr>
              <w:t xml:space="preserve">18 days</w:t>
            </w:r>
            <w:r>
              <w:t xml:space="preserve"> </w:t>
            </w:r>
            <w:r>
              <w:t xml:space="preserve">(vs. 25-day target)</w:t>
            </w:r>
          </w:p>
        </w:tc>
        <w:tc>
          <w:tcPr/>
          <w:p>
            <w:pPr>
              <w:pStyle w:val="Compact"/>
              <w:jc w:val="left"/>
            </w:pPr>
            <w:r>
              <w:t xml:space="preserve">32 days (German sales sector avg.)</w:t>
            </w:r>
          </w:p>
        </w:tc>
        <w:tc>
          <w:tcPr/>
          <w:p>
            <w:pPr>
              <w:pStyle w:val="Compact"/>
              <w:jc w:val="left"/>
            </w:pPr>
            <w:r>
              <w:t xml:space="preserve">Enabled 47% faster market entry for new account executives → contributed to €2.1M Q3 pipeline growth</w:t>
            </w:r>
          </w:p>
        </w:tc>
      </w:tr>
      <w:tr>
        <w:tc>
          <w:tcPr/>
          <w:p>
            <w:pPr>
              <w:pStyle w:val="Compact"/>
              <w:jc w:val="left"/>
            </w:pPr>
            <w:r>
              <w:t xml:space="preserve">Sales Team Retention Rate</w:t>
            </w:r>
          </w:p>
        </w:tc>
        <w:tc>
          <w:tcPr/>
          <w:p>
            <w:pPr>
              <w:pStyle w:val="Compact"/>
              <w:jc w:val="left"/>
            </w:pPr>
            <w:r>
              <w:rPr>
                <w:bCs/>
                <w:b/>
              </w:rPr>
              <w:t xml:space="preserve">89%</w:t>
            </w:r>
          </w:p>
        </w:tc>
        <w:tc>
          <w:tcPr/>
          <w:p>
            <w:pPr>
              <w:pStyle w:val="Compact"/>
              <w:jc w:val="left"/>
            </w:pPr>
            <w:r>
              <w:t xml:space="preserve">76%</w:t>
            </w:r>
          </w:p>
        </w:tc>
        <w:tc>
          <w:tcPr/>
          <w:p>
            <w:pPr>
              <w:pStyle w:val="Compact"/>
              <w:jc w:val="left"/>
            </w:pPr>
            <w:r>
              <w:t xml:space="preserve">Reduced knowledge loss during client transitions → maintained 94% client retention rate</w:t>
            </w:r>
          </w:p>
        </w:tc>
      </w:tr>
      <w:tr>
        <w:tc>
          <w:tcPr/>
          <w:p>
            <w:pPr>
              <w:pStyle w:val="Compact"/>
              <w:jc w:val="left"/>
            </w:pPr>
            <w:r>
              <w:t xml:space="preserve">Talent Pipeline Depth (Sales Roles)</w:t>
            </w:r>
          </w:p>
        </w:tc>
        <w:tc>
          <w:tcPr/>
          <w:p>
            <w:pPr>
              <w:pStyle w:val="Compact"/>
              <w:jc w:val="left"/>
            </w:pPr>
            <w:r>
              <w:rPr>
                <w:bCs/>
                <w:b/>
              </w:rPr>
              <w:t xml:space="preserve">1.8x target</w:t>
            </w:r>
          </w:p>
        </w:tc>
        <w:tc>
          <w:tcPr/>
          <w:p>
            <w:pPr>
              <w:pStyle w:val="Compact"/>
              <w:jc w:val="left"/>
            </w:pPr>
            <w:r>
              <w:t xml:space="preserve">1.2x target</w:t>
            </w:r>
          </w:p>
        </w:tc>
        <w:tc>
          <w:tcPr/>
          <w:p>
            <w:pPr>
              <w:pStyle w:val="Compact"/>
              <w:jc w:val="left"/>
            </w:pPr>
            <w:r>
              <w:t xml:space="preserve">Supported rapid scaling during Berlin Tech Week → captured 38 new enterprise contracts</w:t>
            </w:r>
          </w:p>
        </w:tc>
      </w:tr>
      <w:tr>
        <w:tc>
          <w:tcPr/>
          <w:p>
            <w:pPr>
              <w:pStyle w:val="Compact"/>
              <w:jc w:val="left"/>
            </w:pPr>
            <w:r>
              <w:t xml:space="preserve">HR-Driven Sales Training Completion</w:t>
            </w:r>
          </w:p>
        </w:tc>
        <w:tc>
          <w:tcPr/>
          <w:p>
            <w:pPr>
              <w:pStyle w:val="Compact"/>
              <w:jc w:val="left"/>
            </w:pPr>
            <w:r>
              <w:rPr>
                <w:bCs/>
                <w:b/>
              </w:rPr>
              <w:t xml:space="preserve">96%</w:t>
            </w:r>
          </w:p>
        </w:tc>
        <w:tc>
          <w:tcPr/>
          <w:p>
            <w:pPr>
              <w:pStyle w:val="Compact"/>
              <w:jc w:val="left"/>
            </w:pPr>
            <w:r>
              <w:t xml:space="preserve">82%</w:t>
            </w:r>
          </w:p>
        </w:tc>
        <w:tc>
          <w:tcPr/>
          <w:p>
            <w:pPr>
              <w:pStyle w:val="Compact"/>
              <w:jc w:val="left"/>
            </w:pPr>
            <w:r>
              <w:t xml:space="preserve">Trained sales teams on German compliance protocols → reduced client onboarding friction by 27%</w:t>
            </w:r>
          </w:p>
        </w:tc>
      </w:tr>
    </w:tbl>
    <w:bookmarkEnd w:id="22"/>
    <w:bookmarkStart w:id="23" w:name="Xd2a27001ebe3000e96a07c9cccb833ac0d0bb3f"/>
    <w:p>
      <w:pPr>
        <w:pStyle w:val="Heading2"/>
      </w:pPr>
      <w:r>
        <w:t xml:space="preserve">IV. Berlin-Specific HR Initiatives Driving Sales Results</w:t>
      </w:r>
    </w:p>
    <w:p>
      <w:pPr>
        <w:pStyle w:val="FirstParagraph"/>
      </w:pPr>
      <w:r>
        <w:rPr>
          <w:bCs/>
          <w:b/>
        </w:rPr>
        <w:t xml:space="preserve">A. Localized Recruitment Strategy:</w:t>
      </w:r>
      <w:r>
        <w:t xml:space="preserve"> </w:t>
      </w:r>
      <w:r>
        <w:t xml:space="preserve">Our Human Resources Manager implemented Berlin-specific talent sourcing aligned with the city's unique labor ecosystem. By partnering with Technische Universität Berlin and Fraunhofer Institutes, we created a dedicated "Sales Talent Pipeline" that reduced external recruitment costs by 29% while ensuring candidates possessed both technical expertise and cultural fluency for Germany's nuanced business environment. This initiative directly resulted in 15 high-performing sales specialists joining during Q3 – all exceeding quota in first quarter.</w:t>
      </w:r>
    </w:p>
    <w:p>
      <w:pPr>
        <w:pStyle w:val="BodyText"/>
      </w:pPr>
      <w:r>
        <w:rPr>
          <w:bCs/>
          <w:b/>
        </w:rPr>
        <w:t xml:space="preserve">B. German Labor Law Compliance as Sales Enabler:</w:t>
      </w:r>
      <w:r>
        <w:t xml:space="preserve"> </w:t>
      </w:r>
      <w:r>
        <w:t xml:space="preserve">The Berlin HR team pioneered a compliance-focused sales onboarding framework that preemptively addresses Germany's strict data privacy (GDPR) and commission regulations. By embedding these protocols into the sales training curriculum, we eliminated 100% of compliance-related client onboarding delays – a critical bottleneck in Berlin's enterprise sales cycle. This strategic alignment between Human Resources Manager responsibilities and sales operations accelerated deal velocity by 22%.</w:t>
      </w:r>
    </w:p>
    <w:p>
      <w:pPr>
        <w:pStyle w:val="BodyText"/>
      </w:pPr>
      <w:r>
        <w:rPr>
          <w:bCs/>
          <w:b/>
        </w:rPr>
        <w:t xml:space="preserve">C. Retention Through Career Architecture:</w:t>
      </w:r>
      <w:r>
        <w:t xml:space="preserve"> </w:t>
      </w:r>
      <w:r>
        <w:t xml:space="preserve">Recognizing Berlin's high employee mobility rate (18% industry average), the HR department introduced a tiered career path for sales roles with clear progression from "Business Development Representative" to "Regional Sales Director." This structure, co-created with Berlin sales leadership, increased internal promotions by 64% and directly boosted motivation – evidenced by our sales team's 15.3% average quota attainment (vs. industry 12.7%).</w:t>
      </w:r>
    </w:p>
    <w:bookmarkEnd w:id="23"/>
    <w:bookmarkStart w:id="24" w:name="Xf2e205a2c483c46cbab7dee969952fe29539ab6"/>
    <w:p>
      <w:pPr>
        <w:pStyle w:val="Heading2"/>
      </w:pPr>
      <w:r>
        <w:t xml:space="preserve">V. Challenges in the Berlin Market &amp; HR Solutions</w:t>
      </w:r>
    </w:p>
    <w:p>
      <w:pPr>
        <w:pStyle w:val="FirstParagraph"/>
      </w:pPr>
      <w:r>
        <w:t xml:space="preserve">Operating in Berlin presents unique challenges requiring specialized HR expertise:</w:t>
      </w:r>
    </w:p>
    <w:p>
      <w:pPr>
        <w:numPr>
          <w:ilvl w:val="0"/>
          <w:numId w:val="1001"/>
        </w:numPr>
        <w:pStyle w:val="Compact"/>
      </w:pPr>
      <w:r>
        <w:rPr>
          <w:bCs/>
          <w:b/>
        </w:rPr>
        <w:t xml:space="preserve">Talent Scarcity:</w:t>
      </w:r>
      <w:r>
        <w:t xml:space="preserve"> </w:t>
      </w:r>
      <w:r>
        <w:t xml:space="preserve">Competitive demand for sales talent with German language proficiency. *HR Solution:* Launched "Berlin Sales Accelerator" program with Deutsche Börse partnerships, achieving 92% candidate conversion from local universities.</w:t>
      </w:r>
    </w:p>
    <w:p>
      <w:pPr>
        <w:numPr>
          <w:ilvl w:val="0"/>
          <w:numId w:val="1001"/>
        </w:numPr>
        <w:pStyle w:val="Compact"/>
      </w:pPr>
      <w:r>
        <w:rPr>
          <w:bCs/>
          <w:b/>
        </w:rPr>
        <w:t xml:space="preserve">Regulatory Complexity:</w:t>
      </w:r>
      <w:r>
        <w:t xml:space="preserve"> </w:t>
      </w:r>
      <w:r>
        <w:t xml:space="preserve">Frequent changes to Germany's collective bargaining agreements (Tarifverträge). *HR Solution:* Created real-time compliance dashboard monitored by our HR Manager, preventing €380K in potential penalties.</w:t>
      </w:r>
    </w:p>
    <w:p>
      <w:pPr>
        <w:numPr>
          <w:ilvl w:val="0"/>
          <w:numId w:val="1001"/>
        </w:numPr>
        <w:pStyle w:val="Compact"/>
      </w:pPr>
      <w:r>
        <w:rPr>
          <w:bCs/>
          <w:b/>
        </w:rPr>
        <w:t xml:space="preserve">Cultural Integration:</w:t>
      </w:r>
      <w:r>
        <w:t xml:space="preserve"> </w:t>
      </w:r>
      <w:r>
        <w:t xml:space="preserve">High influx of international sales staff requiring German business etiquette training. *HR Solution:* Developed "Berlin Business Culture Immersion" modules reducing onboarding time by 35% and improving cross-cultural client rapport.</w:t>
      </w:r>
    </w:p>
    <w:bookmarkEnd w:id="24"/>
    <w:bookmarkStart w:id="25" w:name="Xd6a0acf6bca678e85ead86c088a523818a708ce"/>
    <w:p>
      <w:pPr>
        <w:pStyle w:val="Heading2"/>
      </w:pPr>
      <w:r>
        <w:t xml:space="preserve">VI. Strategic Recommendations for HR Leadership</w:t>
      </w:r>
    </w:p>
    <w:p>
      <w:pPr>
        <w:pStyle w:val="FirstParagraph"/>
      </w:pPr>
      <w:r>
        <w:t xml:space="preserve">Based on this Sales Report, the Human Resources Manager in Berlin proposes three critical actions to sustain sales growth:</w:t>
      </w:r>
    </w:p>
    <w:p>
      <w:pPr>
        <w:numPr>
          <w:ilvl w:val="0"/>
          <w:numId w:val="1002"/>
        </w:numPr>
        <w:pStyle w:val="Compact"/>
      </w:pPr>
      <w:r>
        <w:rPr>
          <w:bCs/>
          <w:b/>
        </w:rPr>
        <w:t xml:space="preserve">Establish Berlin Talent Resilience Fund:</w:t>
      </w:r>
      <w:r>
        <w:t xml:space="preserve"> </w:t>
      </w:r>
      <w:r>
        <w:t xml:space="preserve">Allocate €150K annually for targeted recruitment in underrepresented fields (AI sales solutions), directly addressing Germany's projected 2025 talent gap in tech sales.</w:t>
      </w:r>
    </w:p>
    <w:p>
      <w:pPr>
        <w:numPr>
          <w:ilvl w:val="0"/>
          <w:numId w:val="1002"/>
        </w:numPr>
        <w:pStyle w:val="Compact"/>
      </w:pPr>
      <w:r>
        <w:rPr>
          <w:bCs/>
          <w:b/>
        </w:rPr>
        <w:t xml:space="preserve">Implement Sales-Performance HR Analytics Suite:</w:t>
      </w:r>
      <w:r>
        <w:t xml:space="preserve"> </w:t>
      </w:r>
      <w:r>
        <w:t xml:space="preserve">Integrate HRIS data with Salesforce CRM to track real-time correlation between retention rates and deal closure velocity – a capability missing in 87% of German enterprise HR departments (McKinsey, 2023).</w:t>
      </w:r>
    </w:p>
    <w:p>
      <w:pPr>
        <w:numPr>
          <w:ilvl w:val="0"/>
          <w:numId w:val="1002"/>
        </w:numPr>
        <w:pStyle w:val="Compact"/>
      </w:pPr>
      <w:r>
        <w:rPr>
          <w:bCs/>
          <w:b/>
        </w:rPr>
        <w:t xml:space="preserve">Expand Berlin Compliance Council:</w:t>
      </w:r>
      <w:r>
        <w:t xml:space="preserve"> </w:t>
      </w:r>
      <w:r>
        <w:t xml:space="preserve">Partner with DDI Germany to create an industry advisory board on sales labor regulations, positioning our Human Resources Manager as a market thought leader while future-proofing sales operations against regulatory changes.</w:t>
      </w:r>
    </w:p>
    <w:bookmarkEnd w:id="25"/>
    <w:bookmarkStart w:id="26" w:name="vii.-conclusion"/>
    <w:p>
      <w:pPr>
        <w:pStyle w:val="Heading2"/>
      </w:pPr>
      <w:r>
        <w:t xml:space="preserve">VII. Conclusion</w:t>
      </w:r>
    </w:p>
    <w:p>
      <w:pPr>
        <w:pStyle w:val="FirstParagraph"/>
      </w:pPr>
      <w:r>
        <w:t xml:space="preserve">This Sales Report unequivocally demonstrates that the Human Resources Manager in Germany Berlin is not merely an administrative function but the strategic engine powering our sales success. By leveraging Berlin's dynamic market conditions through HR innovation – from compliance-driven talent acquisition to retention frameworks tailored for Germany's business culture – we've created a replicable model for European operations. Our Q3 results (€12.7M revenue vs. €11.8M target) prove that when Human Resources Manager strategies directly align with sales metrics within Germany's regulatory environment, sustainable growth becomes achievable.</w:t>
      </w:r>
    </w:p>
    <w:p>
      <w:pPr>
        <w:pStyle w:val="BodyText"/>
      </w:pPr>
      <w:r>
        <w:t xml:space="preserve">As Berlin solidifies its position as Central Europe's tech-sales capital, our HR initiatives will remain the critical differentiator. We recommend executive endorsement of the proposed Berlin Talent Resilience Fund to maintain this momentum. The Human Resources Manager team stands ready to implement these strategies immediately, ensuring Germany Berlin continues driving global sales excellence with local talent expertise.</w:t>
      </w:r>
    </w:p>
    <w:p>
      <w:pPr>
        <w:pStyle w:val="BodyText"/>
      </w:pPr>
      <w:r>
        <w:rPr>
          <w:bCs/>
          <w:b/>
        </w:rPr>
        <w:t xml:space="preserve">Prepared by:</w:t>
      </w:r>
      <w:r>
        <w:t xml:space="preserve"> </w:t>
      </w:r>
      <w:r>
        <w:t xml:space="preserve">Anja Müller, Senior Human Resources Manager, Berlin Office</w:t>
      </w:r>
      <w:r>
        <w:br/>
      </w:r>
      <w:r>
        <w:rPr>
          <w:bCs/>
          <w:b/>
        </w:rPr>
        <w:t xml:space="preserve">Approved by:</w:t>
      </w:r>
      <w:r>
        <w:t xml:space="preserve"> </w:t>
      </w:r>
      <w:r>
        <w:t xml:space="preserve">Dr. Hans Vogel, Regional HR Director for DACH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Berlin Operations</dc:title>
  <dc:creator/>
  <dc:language>en</dc:language>
  <cp:keywords/>
  <dcterms:created xsi:type="dcterms:W3CDTF">2025-12-10T06:06:17Z</dcterms:created>
  <dcterms:modified xsi:type="dcterms:W3CDTF">2025-12-10T06:06:17Z</dcterms:modified>
</cp:coreProperties>
</file>

<file path=docProps/custom.xml><?xml version="1.0" encoding="utf-8"?>
<Properties xmlns="http://schemas.openxmlformats.org/officeDocument/2006/custom-properties" xmlns:vt="http://schemas.openxmlformats.org/officeDocument/2006/docPropsVTypes"/>
</file>