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&amp;</w:t>
      </w:r>
      <w:r>
        <w:t xml:space="preserve"> </w:t>
      </w:r>
      <w:r>
        <w:t xml:space="preserve">Workforce</w:t>
      </w:r>
      <w:r>
        <w:t xml:space="preserve"> </w:t>
      </w:r>
      <w:r>
        <w:t xml:space="preserve">Insights:</w:t>
      </w:r>
      <w:r>
        <w:t xml:space="preserve"> </w:t>
      </w:r>
      <w:r>
        <w:t xml:space="preserve">HR</w:t>
      </w:r>
      <w:r>
        <w:t xml:space="preserve"> </w:t>
      </w:r>
      <w:r>
        <w:t xml:space="preserve">Manager's</w:t>
      </w:r>
      <w:r>
        <w:t xml:space="preserve"> </w:t>
      </w:r>
      <w:r>
        <w:t xml:space="preserve">Quarterly</w:t>
      </w:r>
      <w:r>
        <w:t xml:space="preserve"> </w:t>
      </w:r>
      <w:r>
        <w:t xml:space="preserve">Report</w:t>
      </w:r>
      <w:r>
        <w:t xml:space="preserve"> </w:t>
      </w:r>
      <w:r>
        <w:t xml:space="preserve">-</w:t>
      </w:r>
      <w:r>
        <w:t xml:space="preserve"> </w:t>
      </w:r>
      <w:r>
        <w:t xml:space="preserve">Indonesia</w:t>
      </w:r>
      <w:r>
        <w:t xml:space="preserve"> </w:t>
      </w:r>
      <w:r>
        <w:t xml:space="preserve">Jakarta</w:t>
      </w:r>
    </w:p>
    <w:bookmarkStart w:id="27" w:name="Xe47d27b9688633e92aa4f4143212a51b364cbda"/>
    <w:p>
      <w:pPr>
        <w:pStyle w:val="Heading1"/>
      </w:pPr>
      <w:r>
        <w:t xml:space="preserve">Sales Performance &amp; Workforce Insights: Human Resources Manager’s Quarterly Report – Indonesia Jakarta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Indonesia Jakarta Operations</w:t>
      </w:r>
    </w:p>
    <w:bookmarkStart w:id="20" w:name="i.-executive-summary"/>
    <w:p>
      <w:pPr>
        <w:pStyle w:val="Heading2"/>
      </w:pPr>
      <w:r>
        <w:t xml:space="preserve">I. Executive Summary</w:t>
      </w:r>
    </w:p>
    <w:p>
      <w:pPr>
        <w:pStyle w:val="FirstParagraph"/>
      </w:pPr>
      <w:r>
        <w:t xml:space="preserve">This quarterly Sales Report presents a comprehensive analysis of workforce performance metrics directly influencing sales outcomes for our organization in Indonesia Jakarta. As the Human Resources Manager overseeing talent strategy across Southeast Asia’s largest urban economy, I confirm that our sales team achieved 112% of Q3 2023 revenue targets (IDR 48.9 billion vs. target IDR 43.7 billion), with HR initiatives driving a 37% reduction in sales staff turnover compared to Q2. This Sales Report demonstrates how strategic human capital management aligns with Jakarta’s dynamic market demands, positioning us for sustainable growth amid Indonesia’s competitive business landscape.</w:t>
      </w:r>
    </w:p>
    <w:bookmarkEnd w:id="20"/>
    <w:bookmarkStart w:id="21" w:name="X97b5b0ca405de7ee813bb3574aad6e83660a6f9"/>
    <w:p>
      <w:pPr>
        <w:pStyle w:val="Heading2"/>
      </w:pPr>
      <w:r>
        <w:t xml:space="preserve">II. Sales Team Performance Metrics (Q3 2023)</w:t>
      </w:r>
    </w:p>
    <w:p>
      <w:pPr>
        <w:pStyle w:val="FirstParagraph"/>
      </w:pPr>
      <w:r>
        <w:t xml:space="preserve">The Indonesia Jakarta sales team demonstrated exceptional performance, exceeding targets by 12% through superior client acquisition and retention. Key statistics include:</w:t>
      </w:r>
    </w:p>
    <w:p>
      <w:pPr>
        <w:numPr>
          <w:ilvl w:val="0"/>
          <w:numId w:val="1001"/>
        </w:numPr>
        <w:pStyle w:val="Compact"/>
      </w:pPr>
      <w:r>
        <w:rPr>
          <w:bCs/>
          <w:b/>
        </w:rPr>
        <w:t xml:space="preserve">Revenue Generated:</w:t>
      </w:r>
      <w:r>
        <w:t xml:space="preserve"> </w:t>
      </w:r>
      <w:r>
        <w:t xml:space="preserve">IDR 48.9 billion (vs. target: IDR 43.7 billion)</w:t>
      </w:r>
    </w:p>
    <w:p>
      <w:pPr>
        <w:numPr>
          <w:ilvl w:val="0"/>
          <w:numId w:val="1001"/>
        </w:numPr>
        <w:pStyle w:val="Compact"/>
      </w:pPr>
      <w:r>
        <w:rPr>
          <w:bCs/>
          <w:b/>
        </w:rPr>
        <w:t xml:space="preserve">New Client Acquisition Rate:</w:t>
      </w:r>
      <w:r>
        <w:t xml:space="preserve"> </w:t>
      </w:r>
      <w:r>
        <w:t xml:space="preserve">28% increase YoY</w:t>
      </w:r>
    </w:p>
    <w:p>
      <w:pPr>
        <w:numPr>
          <w:ilvl w:val="0"/>
          <w:numId w:val="1001"/>
        </w:numPr>
        <w:pStyle w:val="Compact"/>
      </w:pPr>
      <w:r>
        <w:rPr>
          <w:bCs/>
          <w:b/>
        </w:rPr>
        <w:t xml:space="preserve">Cross-Sell Success Rate:</w:t>
      </w:r>
      <w:r>
        <w:t xml:space="preserve"> </w:t>
      </w:r>
      <w:r>
        <w:t xml:space="preserve">31% (up from 24%)</w:t>
      </w:r>
    </w:p>
    <w:p>
      <w:pPr>
        <w:numPr>
          <w:ilvl w:val="0"/>
          <w:numId w:val="1001"/>
        </w:numPr>
        <w:pStyle w:val="Compact"/>
      </w:pPr>
      <w:r>
        <w:rPr>
          <w:bCs/>
          <w:b/>
        </w:rPr>
        <w:t xml:space="preserve">Employee Engagement Score:</w:t>
      </w:r>
      <w:r>
        <w:t xml:space="preserve"> </w:t>
      </w:r>
      <w:r>
        <w:t xml:space="preserve">4.3/5 (vs. industry average of 3.6)</w:t>
      </w:r>
    </w:p>
    <w:p>
      <w:pPr>
        <w:pStyle w:val="FirstParagraph"/>
      </w:pPr>
      <w:r>
        <w:t xml:space="preserve">Crucially, these results correlate directly with HR interventions implemented in Q2, including our Jakarta-specific "Sales Excellence Pathway" program and localized retention incentives approved under Indonesia’s Manpower Law No. 13/2003 (UU Ketenagakerjaan). The Human Resources Manager’s team identified that reducing sales rep turnover from 28% to 17% in Jakarta directly contributed to a 19% improvement in client retention—proving that talent stability is non-negotiable for sales success in Indonesia’s high-mobility market.</w:t>
      </w:r>
    </w:p>
    <w:bookmarkEnd w:id="21"/>
    <w:bookmarkStart w:id="22" w:name="X4fa239b7217306389263dadb02a3c40e2ef8acb"/>
    <w:p>
      <w:pPr>
        <w:pStyle w:val="Heading2"/>
      </w:pPr>
      <w:r>
        <w:t xml:space="preserve">III. Recruitment &amp; Retention Strategies in Jakarta Context</w:t>
      </w:r>
    </w:p>
    <w:p>
      <w:pPr>
        <w:pStyle w:val="FirstParagraph"/>
      </w:pPr>
      <w:r>
        <w:t xml:space="preserve">In Indonesia Jakarta, where the competitive talent pool for sales roles draws from 12 major universities and adjacent cities like Tangerang and Bekasi, our HR strategy focused on hyper-localized solutions:</w:t>
      </w:r>
    </w:p>
    <w:p>
      <w:pPr>
        <w:numPr>
          <w:ilvl w:val="0"/>
          <w:numId w:val="1002"/>
        </w:numPr>
        <w:pStyle w:val="Compact"/>
      </w:pPr>
      <w:r>
        <w:rPr>
          <w:bCs/>
          <w:b/>
        </w:rPr>
        <w:t xml:space="preserve">Targeted Campus Recruitment:</w:t>
      </w:r>
      <w:r>
        <w:t xml:space="preserve"> </w:t>
      </w:r>
      <w:r>
        <w:t xml:space="preserve">Partnered with Universitas Indonesia (UI) and BINUS University to develop pipeline programs, resulting in 42% of new sales hires from local talent pools</w:t>
      </w:r>
    </w:p>
    <w:p>
      <w:pPr>
        <w:numPr>
          <w:ilvl w:val="0"/>
          <w:numId w:val="1002"/>
        </w:numPr>
        <w:pStyle w:val="Compact"/>
      </w:pPr>
      <w:r>
        <w:rPr>
          <w:bCs/>
          <w:b/>
        </w:rPr>
        <w:t xml:space="preserve">Cultural Integration Framework:</w:t>
      </w:r>
      <w:r>
        <w:t xml:space="preserve"> </w:t>
      </w:r>
      <w:r>
        <w:t xml:space="preserve">Implemented "Jakarta Cultural Onboarding" addressing local communication norms (e.g., emphasis on hierarchical respect during client interactions)</w:t>
      </w:r>
    </w:p>
    <w:p>
      <w:pPr>
        <w:numPr>
          <w:ilvl w:val="0"/>
          <w:numId w:val="1002"/>
        </w:numPr>
        <w:pStyle w:val="Compact"/>
      </w:pPr>
      <w:r>
        <w:rPr>
          <w:bCs/>
          <w:b/>
        </w:rPr>
        <w:t xml:space="preserve">Retention Incentives:</w:t>
      </w:r>
      <w:r>
        <w:t xml:space="preserve"> </w:t>
      </w:r>
      <w:r>
        <w:t xml:space="preserve">Introduced Jakarta-specific benefits including transportation allowances (IDR 1.2 million/month) and flexible scheduling to combat the city’s notorious commute challenges</w:t>
      </w:r>
    </w:p>
    <w:p>
      <w:pPr>
        <w:pStyle w:val="FirstParagraph"/>
      </w:pPr>
      <w:r>
        <w:t xml:space="preserve">This approach reduced time-to-hire for critical sales roles from 52 days to 37 days in Q3, a 30% improvement over industry benchmarks. The Human Resources Manager’s focus on understanding Jakarta's urban mobility constraints—where average commutes exceed 90 minutes—proved pivotal in retaining high-performing sales talent.</w:t>
      </w:r>
    </w:p>
    <w:bookmarkEnd w:id="22"/>
    <w:bookmarkStart w:id="23" w:name="Xa20e574ac6d5a30d9cecff2e6891aa5eee53550"/>
    <w:p>
      <w:pPr>
        <w:pStyle w:val="Heading2"/>
      </w:pPr>
      <w:r>
        <w:t xml:space="preserve">IV. Training Impacting Sales Effectiveness</w:t>
      </w:r>
    </w:p>
    <w:p>
      <w:pPr>
        <w:pStyle w:val="FirstParagraph"/>
      </w:pPr>
      <w:r>
        <w:t xml:space="preserve">Our Q3 training initiatives, designed specifically for Indonesia Jakarta’s market nuances, directly accelerated sales velocity:</w:t>
      </w:r>
    </w:p>
    <w:p>
      <w:pPr>
        <w:numPr>
          <w:ilvl w:val="0"/>
          <w:numId w:val="1003"/>
        </w:numPr>
        <w:pStyle w:val="Compact"/>
      </w:pPr>
      <w:r>
        <w:rPr>
          <w:bCs/>
          <w:b/>
        </w:rPr>
        <w:t xml:space="preserve">Product Knowledge Workshops:</w:t>
      </w:r>
      <w:r>
        <w:t xml:space="preserve"> </w:t>
      </w:r>
      <w:r>
        <w:t xml:space="preserve">100% of sales staff completed updated training on new regional compliance requirements (e.g., Indonesia's Omnibus Law on Investment), increasing client trust scores by 23%</w:t>
      </w:r>
    </w:p>
    <w:p>
      <w:pPr>
        <w:numPr>
          <w:ilvl w:val="0"/>
          <w:numId w:val="1003"/>
        </w:numPr>
        <w:pStyle w:val="Compact"/>
      </w:pPr>
      <w:r>
        <w:rPr>
          <w:bCs/>
          <w:b/>
        </w:rPr>
        <w:t xml:space="preserve">Cultural Intelligence Modules:</w:t>
      </w:r>
      <w:r>
        <w:t xml:space="preserve"> </w:t>
      </w:r>
      <w:r>
        <w:t xml:space="preserve">Taught negotiation techniques aligned with Indonesian business etiquette (e.g., "saling menghargai" principles during proposals)</w:t>
      </w:r>
    </w:p>
    <w:p>
      <w:pPr>
        <w:numPr>
          <w:ilvl w:val="0"/>
          <w:numId w:val="1003"/>
        </w:numPr>
        <w:pStyle w:val="Compact"/>
      </w:pPr>
      <w:r>
        <w:rPr>
          <w:bCs/>
          <w:b/>
        </w:rPr>
        <w:t xml:space="preserve">CRM System Optimization:</w:t>
      </w:r>
      <w:r>
        <w:t xml:space="preserve"> </w:t>
      </w:r>
      <w:r>
        <w:t xml:space="preserve">Reduced data entry errors by 41%, improving lead follow-up speed</w:t>
      </w:r>
    </w:p>
    <w:p>
      <w:pPr>
        <w:pStyle w:val="FirstParagraph"/>
      </w:pPr>
      <w:r>
        <w:t xml:space="preserve">The Sales Report indicates that teams completing these HR-led sessions achieved 27% higher quarterly quota attainment. This directly links the Human Resources Manager’s development programming to revenue outcomes, reinforcing Jakarta’s market-specific training needs.</w:t>
      </w:r>
    </w:p>
    <w:bookmarkEnd w:id="23"/>
    <w:bookmarkStart w:id="24" w:name="X0875f144f4ce1a153889e1aa43e872e5ec112c4"/>
    <w:p>
      <w:pPr>
        <w:pStyle w:val="Heading2"/>
      </w:pPr>
      <w:r>
        <w:t xml:space="preserve">V. Market-Specific Challenges in Indonesia Jakarta</w:t>
      </w:r>
    </w:p>
    <w:p>
      <w:pPr>
        <w:pStyle w:val="FirstParagraph"/>
      </w:pPr>
      <w:r>
        <w:t xml:space="preserve">Operating in Indonesia Jakarta presents unique HR challenges that require tailored solutions:</w:t>
      </w:r>
    </w:p>
    <w:p>
      <w:pPr>
        <w:numPr>
          <w:ilvl w:val="0"/>
          <w:numId w:val="1004"/>
        </w:numPr>
        <w:pStyle w:val="Compact"/>
      </w:pPr>
      <w:r>
        <w:rPr>
          <w:bCs/>
          <w:b/>
        </w:rPr>
        <w:t xml:space="preserve">Talent Competition:</w:t>
      </w:r>
      <w:r>
        <w:t xml:space="preserve"> </w:t>
      </w:r>
      <w:r>
        <w:t xml:space="preserve">38% of sales candidates from competing firms (e.g., Telkom, XL Axiata) offered higher immediate incentives</w:t>
      </w:r>
    </w:p>
    <w:p>
      <w:pPr>
        <w:numPr>
          <w:ilvl w:val="0"/>
          <w:numId w:val="1004"/>
        </w:numPr>
        <w:pStyle w:val="Compact"/>
      </w:pPr>
      <w:r>
        <w:rPr>
          <w:bCs/>
          <w:b/>
        </w:rPr>
        <w:t xml:space="preserve">Regulatory Complexity:</w:t>
      </w:r>
      <w:r>
        <w:t xml:space="preserve"> </w:t>
      </w:r>
      <w:r>
        <w:t xml:space="preserve">Navigating Indonesia’s complex tax and social security rules for remote sales staff across multiple provinces</w:t>
      </w:r>
    </w:p>
    <w:p>
      <w:pPr>
        <w:pStyle w:val="FirstParagraph"/>
      </w:pPr>
      <w:r>
        <w:t xml:space="preserve">The Human Resources Manager responded by launching our "Jakarta Resilience Fund," offering hardship allowances for employees facing housing challenges, reducing voluntary attrition by 22% in high-cost districts like South Jakarta. This initiative exemplifies how localized HR solutions drive sales stability.</w:t>
      </w:r>
    </w:p>
    <w:bookmarkEnd w:id="24"/>
    <w:bookmarkStart w:id="25" w:name="vi.-recommendations-for-q4-2023"/>
    <w:p>
      <w:pPr>
        <w:pStyle w:val="Heading2"/>
      </w:pPr>
      <w:r>
        <w:t xml:space="preserve">VI. Recommendations for Q4 2023</w:t>
      </w:r>
    </w:p>
    <w:p>
      <w:pPr>
        <w:pStyle w:val="FirstParagraph"/>
      </w:pPr>
      <w:r>
        <w:t xml:space="preserve">To sustain momentum in the Indonesia Jakarta market, I recommend:</w:t>
      </w:r>
    </w:p>
    <w:p>
      <w:pPr>
        <w:numPr>
          <w:ilvl w:val="0"/>
          <w:numId w:val="1005"/>
        </w:numPr>
        <w:pStyle w:val="Compact"/>
      </w:pPr>
      <w:r>
        <w:rPr>
          <w:bCs/>
          <w:b/>
        </w:rPr>
        <w:t xml:space="preserve">Expand "Sales Talent Incubator":</w:t>
      </w:r>
      <w:r>
        <w:t xml:space="preserve"> </w:t>
      </w:r>
      <w:r>
        <w:t xml:space="preserve">Partner with Jakarta Chamber of Commerce to develop a certified sales leadership program, targeting 50% of new hires from vocational training partners</w:t>
      </w:r>
    </w:p>
    <w:p>
      <w:pPr>
        <w:numPr>
          <w:ilvl w:val="0"/>
          <w:numId w:val="1005"/>
        </w:numPr>
        <w:pStyle w:val="Compact"/>
      </w:pPr>
      <w:r>
        <w:rPr>
          <w:bCs/>
          <w:b/>
        </w:rPr>
        <w:t xml:space="preserve">Implement AI-Driven Retention Analytics:</w:t>
      </w:r>
      <w:r>
        <w:t xml:space="preserve"> </w:t>
      </w:r>
      <w:r>
        <w:t xml:space="preserve">Deploy predictive tools to identify at-risk sales staff in Jakarta’s volatile market (estimated ROI: 140% within six months)</w:t>
      </w:r>
    </w:p>
    <w:p>
      <w:pPr>
        <w:numPr>
          <w:ilvl w:val="0"/>
          <w:numId w:val="1005"/>
        </w:numPr>
        <w:pStyle w:val="Compact"/>
      </w:pPr>
      <w:r>
        <w:rPr>
          <w:bCs/>
          <w:b/>
        </w:rPr>
        <w:t xml:space="preserve">Cultural Ambassador Network:</w:t>
      </w:r>
      <w:r>
        <w:t xml:space="preserve"> </w:t>
      </w:r>
      <w:r>
        <w:t xml:space="preserve">Establish peer mentors from diverse Jakarta neighborhoods to improve cross-cultural client relationships</w:t>
      </w:r>
    </w:p>
    <w:p>
      <w:pPr>
        <w:pStyle w:val="FirstParagraph"/>
      </w:pPr>
      <w:r>
        <w:t xml:space="preserve">These initiatives will directly support the Q4 Sales Report objectives of achieving 120% revenue growth through a stable, culturally attuned sales force. As Indonesia’s largest economy, Jakarta demands HR strategies that mirror its complexity—where human capital decisions are sales performance drivers.</w:t>
      </w:r>
    </w:p>
    <w:bookmarkEnd w:id="25"/>
    <w:bookmarkStart w:id="26" w:name="vii.-conclusion"/>
    <w:p>
      <w:pPr>
        <w:pStyle w:val="Heading2"/>
      </w:pPr>
      <w:r>
        <w:t xml:space="preserve">VII. Conclusion</w:t>
      </w:r>
    </w:p>
    <w:p>
      <w:pPr>
        <w:pStyle w:val="FirstParagraph"/>
      </w:pPr>
      <w:r>
        <w:t xml:space="preserve">This Sales Report underscores the non-negotiable role of Human Resources Management in driving revenue outcomes for our Indonesia Jakarta operations. From talent acquisition to retention, every HR initiative directly impacts sales velocity and client satisfaction in a market where 68% of B2B purchasing decisions are influenced by relationship dynamics (per PwC Jakarta Business Survey). The Human Resources Manager’s strategic alignment with sales leadership has transformed talent management from a support function into our most critical growth engine. In this competitive landscape, we must continue to innovate HR solutions that resonate with Jakarta’s unique business culture—proving that when people succeed, the business succeeds.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&amp; Workforce Insights: HR Manager's Quarterly Report - Indonesia Jakarta</dc:title>
  <dc:creator/>
  <dc:language>en</dc:language>
  <cp:keywords/>
  <dcterms:created xsi:type="dcterms:W3CDTF">2025-12-11T06:08:08Z</dcterms:created>
  <dcterms:modified xsi:type="dcterms:W3CDTF">2025-12-11T06:08:08Z</dcterms:modified>
</cp:coreProperties>
</file>

<file path=docProps/custom.xml><?xml version="1.0" encoding="utf-8"?>
<Properties xmlns="http://schemas.openxmlformats.org/officeDocument/2006/custom-properties" xmlns:vt="http://schemas.openxmlformats.org/officeDocument/2006/docPropsVTypes"/>
</file>