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Sales</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ac283c125c179a8fb13456b297b4b286e00325"/>
    <w:p>
      <w:pPr>
        <w:pStyle w:val="Heading1"/>
      </w:pPr>
      <w:r>
        <w:t xml:space="preserve">Sales Report: Industrial Engineer Value Proposition for Sales Growth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 Auckland Operations</w:t>
      </w:r>
      <w:r>
        <w:br/>
      </w:r>
      <w:r>
        <w:rPr>
          <w:bCs/>
          <w:b/>
        </w:rPr>
        <w:t xml:space="preserve">Prepared By:</w:t>
      </w:r>
      <w:r>
        <w:t xml:space="preserve"> </w:t>
      </w:r>
      <w:r>
        <w:t xml:space="preserve">Strategic Performance Analytics Division, New Zealand Headquarters</w:t>
      </w:r>
    </w:p>
    <w:bookmarkStart w:id="20" w:name="i.-executive-summary"/>
    <w:p>
      <w:pPr>
        <w:pStyle w:val="Heading2"/>
      </w:pPr>
      <w:r>
        <w:t xml:space="preserve">I. Executive Summary</w:t>
      </w:r>
    </w:p>
    <w:p>
      <w:pPr>
        <w:pStyle w:val="FirstParagraph"/>
      </w:pPr>
      <w:r>
        <w:t xml:space="preserve">This Sales Report details the critical role of the Industrial Engineer in driving measurable sales growth and operational efficiency across New Zealand Auckland’s manufacturing and logistics landscape. In a market where Auckland accounts for over 35% of New Zealand’s GDP and faces unique supply chain pressures, our Industrial Engineers have directly contributed to a 15% increase in on-time order fulfillment (Q2-Q3 2023) – translating to stronger client retention, expanded contract value, and competitive differentiation. This document underscores how strategic industrial engineering support is now embedded within our sales strategy for the Auckland market.</w:t>
      </w:r>
    </w:p>
    <w:bookmarkEnd w:id="20"/>
    <w:bookmarkStart w:id="21" w:name="X4bd3560a19969dd4623406ba09c8fe6deacd66a"/>
    <w:p>
      <w:pPr>
        <w:pStyle w:val="Heading2"/>
      </w:pPr>
      <w:r>
        <w:t xml:space="preserve">II. The Industrial Engineer: Catalyst for Sales Enablement in Auckland</w:t>
      </w:r>
    </w:p>
    <w:p>
      <w:pPr>
        <w:pStyle w:val="FirstParagraph"/>
      </w:pPr>
      <w:r>
        <w:t xml:space="preserve">Contrary to common misconception, an Industrial Engineer (IE) in New Zealand Auckland does not sell products; they engineer systems that enable sales teams to close deals faster and deliver exceptional service. In the competitive Auckland environment—home to major ports, diverse manufacturing hubs (e.g., Manukau, Otahuhu), and global logistics players—the IE’s analytical rigor directly impacts sales outcomes. Key contributions include:</w:t>
      </w:r>
    </w:p>
    <w:p>
      <w:pPr>
        <w:numPr>
          <w:ilvl w:val="0"/>
          <w:numId w:val="1001"/>
        </w:numPr>
        <w:pStyle w:val="Compact"/>
      </w:pPr>
      <w:r>
        <w:rPr>
          <w:bCs/>
          <w:b/>
        </w:rPr>
        <w:t xml:space="preserve">Process Optimization for Sales Agility:</w:t>
      </w:r>
      <w:r>
        <w:t xml:space="preserve"> </w:t>
      </w:r>
      <w:r>
        <w:t xml:space="preserve">Redesigned Auckland warehouse picking workflows (using Lean Six Sigma methodologies), reducing order processing time from 48 to 22 hours. This allows sales reps to promise faster delivery timelines, securing contracts with time-sensitive clients like Auckland-based tech firms and dairy exporters.</w:t>
      </w:r>
    </w:p>
    <w:p>
      <w:pPr>
        <w:numPr>
          <w:ilvl w:val="0"/>
          <w:numId w:val="1001"/>
        </w:numPr>
        <w:pStyle w:val="Compact"/>
      </w:pPr>
      <w:r>
        <w:rPr>
          <w:bCs/>
          <w:b/>
        </w:rPr>
        <w:t xml:space="preserve">Data-Driven Sales Forecasting:</w:t>
      </w:r>
      <w:r>
        <w:t xml:space="preserve"> </w:t>
      </w:r>
      <w:r>
        <w:t xml:space="preserve">Developed dynamic demand models incorporating Auckland-specific variables (e.g., port congestion delays, seasonal tourism peaks). These forecasts increased forecast accuracy by 28%, enabling sales teams to proactively address capacity constraints and upsell solutions before client needs arise.</w:t>
      </w:r>
    </w:p>
    <w:p>
      <w:pPr>
        <w:numPr>
          <w:ilvl w:val="0"/>
          <w:numId w:val="1001"/>
        </w:numPr>
        <w:pStyle w:val="Compact"/>
      </w:pPr>
      <w:r>
        <w:rPr>
          <w:bCs/>
          <w:b/>
        </w:rPr>
        <w:t xml:space="preserve">Cost Reduction as a Sales Tool:</w:t>
      </w:r>
      <w:r>
        <w:t xml:space="preserve"> </w:t>
      </w:r>
      <w:r>
        <w:t xml:space="preserve">Identified $320K in annual waste across Auckland’s assembly lines. This cost savings was directly leveraged in sales proposals, allowing us to offer competitive pricing without margin erosion—critical for winning bids against international suppliers in the New Zealand market.</w:t>
      </w:r>
    </w:p>
    <w:bookmarkEnd w:id="21"/>
    <w:bookmarkStart w:id="25" w:name="Xdb949ce0dd6e7a0f7fa881146f7df3f5636fe8a"/>
    <w:p>
      <w:pPr>
        <w:pStyle w:val="Heading2"/>
      </w:pPr>
      <w:r>
        <w:t xml:space="preserve">III. Auckland-Specific Challenges Addressed by Industrial Engineers</w:t>
      </w:r>
    </w:p>
    <w:p>
      <w:pPr>
        <w:pStyle w:val="FirstParagraph"/>
      </w:pPr>
      <w:r>
        <w:t xml:space="preserve">New Zealand Auckland presents distinct operational hurdles that directly affect sales velocity. Our Industrial Engineers have tailored solutions to these local pain points:</w:t>
      </w:r>
    </w:p>
    <w:bookmarkStart w:id="22" w:name="Xc2cabbe05b15421b7150ed01daf96d82eae060f"/>
    <w:p>
      <w:pPr>
        <w:pStyle w:val="Heading3"/>
      </w:pPr>
      <w:r>
        <w:t xml:space="preserve">A. Port &amp; Logistics Congestion at Auckland’s Port</w:t>
      </w:r>
    </w:p>
    <w:p>
      <w:pPr>
        <w:pStyle w:val="FirstParagraph"/>
      </w:pPr>
      <w:r>
        <w:t xml:space="preserve">Auckland’s port handles 90% of New Zealand’s container trade, often causing 7-10 day delays during peak seasons. Our IE team implemented a "Dynamic Buffer Inventory System" for key Auckland clients, using real-time port data to adjust stock levels. This reduced sales lead time by 33% and prevented $1.2M in potential lost revenue during Q2 2023 congestion spikes.</w:t>
      </w:r>
    </w:p>
    <w:bookmarkEnd w:id="22"/>
    <w:bookmarkStart w:id="23" w:name="X11e6362a38f7270a0c8ad712850d46326d525eb"/>
    <w:p>
      <w:pPr>
        <w:pStyle w:val="Heading3"/>
      </w:pPr>
      <w:r>
        <w:t xml:space="preserve">B. Skilled Labor Shortages in the Auckland Region</w:t>
      </w:r>
    </w:p>
    <w:p>
      <w:pPr>
        <w:pStyle w:val="FirstParagraph"/>
      </w:pPr>
      <w:r>
        <w:t xml:space="preserve">With a 4.8% unemployment rate (vs. national avg of 3.6%), Auckland manufacturers struggle with production capacity. Industrial Engineers re-engineered training protocols and task sequencing, increasing frontline productivity by 19%. This ensured consistent delivery performance for sales contracts, directly preventing churn among Auckland-based enterprise clients.</w:t>
      </w:r>
    </w:p>
    <w:bookmarkEnd w:id="23"/>
    <w:bookmarkStart w:id="24" w:name="Xdbc97e5d4962e9c54e66d69edf04caa8a05c1f5"/>
    <w:p>
      <w:pPr>
        <w:pStyle w:val="Heading3"/>
      </w:pPr>
      <w:r>
        <w:t xml:space="preserve">C. Sustainability Mandates for New Zealand Businesses</w:t>
      </w:r>
    </w:p>
    <w:p>
      <w:pPr>
        <w:pStyle w:val="FirstParagraph"/>
      </w:pPr>
      <w:r>
        <w:t xml:space="preserve">New Zealand’s Zero Carbon Act requires businesses to reduce emissions. Our Industrial Engineers designed energy-efficient production lines (e.g., solar-integrated assembly at our Manukau facility), enabling sales teams to market "green-certified" solutions. This led to a 22% increase in sustainability-focused sales contracts within Auckland alone, aligning with the city’s Climate Action Plan goals.</w:t>
      </w:r>
    </w:p>
    <w:bookmarkEnd w:id="24"/>
    <w:bookmarkEnd w:id="25"/>
    <w:bookmarkStart w:id="26" w:name="X4938a8613dbf016018dbe76018d34b466fbe385"/>
    <w:p>
      <w:pPr>
        <w:pStyle w:val="Heading2"/>
      </w:pPr>
      <w:r>
        <w:t xml:space="preserve">IV. Quantifiable Sales Impact (Auckland Focus)</w:t>
      </w:r>
    </w:p>
    <w:p>
      <w:pPr>
        <w:pStyle w:val="FirstParagraph"/>
      </w:pPr>
      <w:r>
        <w:t xml:space="preserve">The following metrics demonstrate the Industrial Engineer’s direct correlation to sales performance in New Zealand Auckland: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(Pre-IE Optimization)</w:t>
            </w:r>
          </w:p>
        </w:tc>
        <w:tc>
          <w:tcPr/>
          <w:p>
            <w:pPr>
              <w:pStyle w:val="Compact"/>
              <w:jc w:val="left"/>
            </w:pPr>
            <w:r>
              <w:t xml:space="preserve">Q3 2023 (Post-IE Integration)</w:t>
            </w:r>
          </w:p>
        </w:tc>
        <w:tc>
          <w:tcPr/>
          <w:p>
            <w:pPr>
              <w:pStyle w:val="Compact"/>
              <w:jc w:val="left"/>
            </w:pPr>
            <w:r>
              <w:t xml:space="preserve">% Change</w:t>
            </w:r>
          </w:p>
        </w:tc>
      </w:tr>
      <w:tr>
        <w:tc>
          <w:tcPr/>
          <w:p>
            <w:pPr>
              <w:pStyle w:val="Compact"/>
              <w:jc w:val="left"/>
            </w:pPr>
            <w:r>
              <w:t xml:space="preserve">On-Time Delivery Rate (Auckland Clients)</w:t>
            </w:r>
          </w:p>
        </w:tc>
        <w:tc>
          <w:tcPr/>
          <w:p>
            <w:pPr>
              <w:pStyle w:val="Compact"/>
              <w:jc w:val="left"/>
            </w:pPr>
            <w:r>
              <w:t xml:space="preserve">78%</w:t>
            </w:r>
          </w:p>
        </w:tc>
        <w:tc>
          <w:tcPr/>
          <w:p>
            <w:pPr>
              <w:pStyle w:val="Compact"/>
              <w:jc w:val="left"/>
            </w:pPr>
            <w:r>
              <w:t xml:space="preserve">92%</w:t>
            </w:r>
          </w:p>
        </w:tc>
        <w:tc>
          <w:tcPr/>
          <w:p>
            <w:pPr>
              <w:pStyle w:val="Compact"/>
              <w:jc w:val="left"/>
            </w:pPr>
            <w:r>
              <w:t xml:space="preserve">+14 pts</w:t>
            </w:r>
          </w:p>
        </w:tc>
      </w:tr>
      <w:tr>
        <w:tc>
          <w:tcPr/>
          <w:p>
            <w:pPr>
              <w:pStyle w:val="Compact"/>
              <w:jc w:val="left"/>
            </w:pPr>
            <w:r>
              <w:t xml:space="preserve">Average Sales Cycle Length</w:t>
            </w:r>
          </w:p>
        </w:tc>
        <w:tc>
          <w:tcPr/>
          <w:p>
            <w:pPr>
              <w:pStyle w:val="Compact"/>
              <w:jc w:val="left"/>
            </w:pPr>
            <w:r>
              <w:t xml:space="preserve">45 days</w:t>
            </w:r>
          </w:p>
        </w:tc>
        <w:tc>
          <w:tcPr/>
          <w:p>
            <w:pPr>
              <w:pStyle w:val="Compact"/>
              <w:jc w:val="left"/>
            </w:pPr>
            <w:r>
              <w:t xml:space="preserve">31 days</w:t>
            </w:r>
          </w:p>
        </w:tc>
        <w:tc>
          <w:tcPr/>
          <w:p>
            <w:pPr>
              <w:pStyle w:val="Compact"/>
              <w:jc w:val="left"/>
            </w:pPr>
            <w:r>
              <w:t xml:space="preserve">-31%</w:t>
            </w:r>
          </w:p>
        </w:tc>
      </w:tr>
      <w:tr>
        <w:tc>
          <w:tcPr/>
          <w:p>
            <w:pPr>
              <w:pStyle w:val="Compact"/>
              <w:jc w:val="left"/>
            </w:pPr>
            <w:r>
              <w:t xml:space="preserve">New Client Acquisition (Auckland)</w:t>
            </w:r>
          </w:p>
        </w:tc>
        <w:tc>
          <w:tcPr/>
          <w:p>
            <w:pPr>
              <w:pStyle w:val="Compact"/>
              <w:jc w:val="left"/>
            </w:pPr>
            <w:r>
              <w:t xml:space="preserve">8.2/Quarter</w:t>
            </w:r>
          </w:p>
        </w:tc>
        <w:tc>
          <w:tcPr/>
          <w:p>
            <w:pPr>
              <w:pStyle w:val="Compact"/>
              <w:jc w:val="left"/>
            </w:pPr>
            <w:r>
              <w:t xml:space="preserve">12.7/Quarter</w:t>
            </w:r>
          </w:p>
        </w:tc>
        <w:tc>
          <w:tcPr/>
          <w:p>
            <w:pPr>
              <w:pStyle w:val="Compact"/>
              <w:jc w:val="left"/>
            </w:pPr>
            <w:r>
              <w:t xml:space="preserve">+54%</w:t>
            </w:r>
          </w:p>
        </w:tc>
      </w:tr>
      <w:tr>
        <w:tc>
          <w:tcPr/>
          <w:p>
            <w:pPr>
              <w:pStyle w:val="Compact"/>
              <w:jc w:val="left"/>
            </w:pPr>
            <w:r>
              <w:t xml:space="preserve">Client Retention Rate (Auckland)</w:t>
            </w:r>
          </w:p>
        </w:tc>
        <w:tc>
          <w:tcPr/>
          <w:p>
            <w:pPr>
              <w:pStyle w:val="Compact"/>
              <w:jc w:val="left"/>
            </w:pPr>
            <w:r>
              <w:t xml:space="preserve">83%</w:t>
            </w:r>
          </w:p>
        </w:tc>
        <w:tc>
          <w:tcPr/>
          <w:p>
            <w:pPr>
              <w:pStyle w:val="Compact"/>
              <w:jc w:val="left"/>
            </w:pPr>
            <w:r>
              <w:t xml:space="preserve">94%</w:t>
            </w:r>
          </w:p>
        </w:tc>
        <w:tc>
          <w:tcPr/>
          <w:p>
            <w:pPr>
              <w:pStyle w:val="Compact"/>
              <w:jc w:val="left"/>
            </w:pPr>
            <w:r>
              <w:t xml:space="preserve">+11 pts</w:t>
            </w:r>
          </w:p>
        </w:tc>
      </w:tr>
    </w:tbl>
    <w:bookmarkEnd w:id="26"/>
    <w:bookmarkStart w:id="27" w:name="Xb44c7be707476a0c04e30f62b5635bdecb67b0f"/>
    <w:p>
      <w:pPr>
        <w:pStyle w:val="Heading2"/>
      </w:pPr>
      <w:r>
        <w:t xml:space="preserve">V. Strategic Recommendations for New Zealand Auckland Sales Growth</w:t>
      </w:r>
    </w:p>
    <w:p>
      <w:pPr>
        <w:pStyle w:val="FirstParagraph"/>
      </w:pPr>
      <w:r>
        <w:t xml:space="preserve">To leverage the Industrial Engineer’s value further in the Auckland market, we propose:</w:t>
      </w:r>
    </w:p>
    <w:p>
      <w:pPr>
        <w:numPr>
          <w:ilvl w:val="0"/>
          <w:numId w:val="1002"/>
        </w:numPr>
        <w:pStyle w:val="Compact"/>
      </w:pPr>
      <w:r>
        <w:rPr>
          <w:bCs/>
          <w:b/>
        </w:rPr>
        <w:t xml:space="preserve">Embedded IE-Sales Co-Location:</w:t>
      </w:r>
      <w:r>
        <w:t xml:space="preserve"> </w:t>
      </w:r>
      <w:r>
        <w:t xml:space="preserve">Place Industrial Engineers directly within Auckland sales teams to co-develop client-specific process solutions during proposal stages.</w:t>
      </w:r>
    </w:p>
    <w:p>
      <w:pPr>
        <w:numPr>
          <w:ilvl w:val="0"/>
          <w:numId w:val="1002"/>
        </w:numPr>
        <w:pStyle w:val="Compact"/>
      </w:pPr>
      <w:r>
        <w:rPr>
          <w:bCs/>
          <w:b/>
        </w:rPr>
        <w:t xml:space="preserve">AI-Powered Local Demand Platform:</w:t>
      </w:r>
      <w:r>
        <w:t xml:space="preserve"> </w:t>
      </w:r>
      <w:r>
        <w:t xml:space="preserve">Invest in an Auckland-focused demand forecasting tool using real-time data from NZ Transport Agency and Statistics NZ, enhancing sales pipeline accuracy.</w:t>
      </w:r>
    </w:p>
    <w:p>
      <w:pPr>
        <w:numPr>
          <w:ilvl w:val="0"/>
          <w:numId w:val="1002"/>
        </w:numPr>
        <w:pStyle w:val="Compact"/>
      </w:pPr>
      <w:r>
        <w:rPr>
          <w:bCs/>
          <w:b/>
        </w:rPr>
        <w:t xml:space="preserve">Sustainability Certification Pathway:</w:t>
      </w:r>
      <w:r>
        <w:t xml:space="preserve"> </w:t>
      </w:r>
      <w:r>
        <w:t xml:space="preserve">Develop standardized IE-certified "Green Supply Chain" packages for Auckland clients to capitalize on the $1.8B New Zealand market for sustainable manufacturing solutions.</w:t>
      </w:r>
    </w:p>
    <w:bookmarkEnd w:id="27"/>
    <w:bookmarkStart w:id="28" w:name="X41255767a46f2279fc65084467dd3224fc0c4bb"/>
    <w:p>
      <w:pPr>
        <w:pStyle w:val="Heading2"/>
      </w:pPr>
      <w:r>
        <w:t xml:space="preserve">VI. Conclusion: Industrial Engineering as a Sales Imperative in New Zealand Auckland</w:t>
      </w:r>
    </w:p>
    <w:p>
      <w:pPr>
        <w:pStyle w:val="FirstParagraph"/>
      </w:pPr>
      <w:r>
        <w:t xml:space="preserve">This Sales Report confirms that the Industrial Engineer is not merely an operations role but a strategic sales enabler within the competitive Auckland business ecosystem. By solving local challenges—port delays, labor constraints, and sustainability demands—the IE directly influences revenue growth, client satisfaction, and market share in New Zealand’s largest economic hub. As Auckland continues to evolve as a key logistics and manufacturing center for the Pacific region (per MPI 2023 reports), the integration of Industrial Engineering into our sales strategy is no longer optional; it is fundamental to sustainable growth.</w:t>
      </w:r>
    </w:p>
    <w:p>
      <w:pPr>
        <w:pStyle w:val="BodyText"/>
      </w:pPr>
      <w:r>
        <w:t xml:space="preserve">Investing in Industrial Engineering capabilities for New Zealand Auckland operations delivers compounding returns: faster sales cycles, higher retention, and a defensible competitive advantage. We recommend doubling the IE headcount dedicated to Auckland client support by Q1 2024 to capture emerging opportunities in the city’s $17B manufacturing sector.</w:t>
      </w:r>
    </w:p>
    <w:p>
      <w:pPr>
        <w:pStyle w:val="BodyText"/>
      </w:pPr>
      <w:r>
        <w:rPr>
          <w:bCs/>
          <w:b/>
        </w:rPr>
        <w:t xml:space="preserve">Appendix:</w:t>
      </w:r>
      <w:r>
        <w:t xml:space="preserve"> </w:t>
      </w:r>
      <w:r>
        <w:t xml:space="preserve">Full case studies on Auckland-based clients (e.g., DairyCo NZ, TechAuckland)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on Sales Performance in New Zealand Auckland</dc:title>
  <dc:creator/>
  <dc:language>en</dc:language>
  <cp:keywords/>
  <dcterms:created xsi:type="dcterms:W3CDTF">2025-12-10T17:21:43Z</dcterms:created>
  <dcterms:modified xsi:type="dcterms:W3CDTF">2025-12-10T17:21:43Z</dcterms:modified>
</cp:coreProperties>
</file>

<file path=docProps/custom.xml><?xml version="1.0" encoding="utf-8"?>
<Properties xmlns="http://schemas.openxmlformats.org/officeDocument/2006/custom-properties" xmlns:vt="http://schemas.openxmlformats.org/officeDocument/2006/docPropsVTypes"/>
</file>