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w:t>
      </w:r>
      <w:r>
        <w:t xml:space="preserve"> </w:t>
      </w:r>
      <w:r>
        <w:t xml:space="preserve">Impact</w:t>
      </w:r>
      <w:r>
        <w:t xml:space="preserve"> </w:t>
      </w:r>
      <w:r>
        <w:t xml:space="preserve">in</w:t>
      </w:r>
      <w:r>
        <w:t xml:space="preserve"> </w:t>
      </w:r>
      <w:r>
        <w:t xml:space="preserve">Moscow</w:t>
      </w:r>
      <w:r>
        <w:t xml:space="preserve"> </w:t>
      </w:r>
      <w:r>
        <w:t xml:space="preserve">Market</w:t>
      </w:r>
    </w:p>
    <w:bookmarkStart w:id="27" w:name="X04c822e142a709d9a45bef83e38f957cf2f1175"/>
    <w:p>
      <w:pPr>
        <w:pStyle w:val="Heading1"/>
      </w:pPr>
      <w:r>
        <w:t xml:space="preserve">Comprehensive Sales Report: Industrial Engineering Excellence Driving Revenue in Moscow, Russia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Committee</w:t>
      </w:r>
      <w:r>
        <w:br/>
      </w:r>
      <w:r>
        <w:rPr>
          <w:bCs/>
          <w:b/>
        </w:rPr>
        <w:t xml:space="preserve">Purpose:</w:t>
      </w:r>
      <w:r>
        <w:t xml:space="preserve"> </w:t>
      </w:r>
      <w:r>
        <w:t xml:space="preserve">Analysis of Industrial Engineer contribution to sales growth across key manufacturing and logistics sectors in Moscow, Russia</w:t>
      </w:r>
    </w:p>
    <w:bookmarkStart w:id="20" w:name="i.-executive-summary"/>
    <w:p>
      <w:pPr>
        <w:pStyle w:val="Heading2"/>
      </w:pPr>
      <w:r>
        <w:t xml:space="preserve">I. Executive Summary</w:t>
      </w:r>
    </w:p>
    <w:p>
      <w:pPr>
        <w:pStyle w:val="FirstParagraph"/>
      </w:pPr>
      <w:r>
        <w:t xml:space="preserve">This report details the critical role of the Industrial Engineer in optimizing operational efficiency, directly translating into measurable revenue growth within the Moscow industrial marketplace. As Russia's economic landscape evolves with localized supply chain strategies and increased focus on manufacturing resilience, Industrial Engineers have emerged as pivotal assets for sales teams. In Q3 2023, projects led by certified Industrial Engineers in Moscow achieved an average 18.7% higher client retention rate and a 14.2% faster sales cycle conversion compared to non-engineered initiatives across our portfolio.</w:t>
      </w:r>
    </w:p>
    <w:bookmarkEnd w:id="20"/>
    <w:bookmarkStart w:id="21" w:name="Xd6061c42f6036b352aa7fab18c4175db3edf5bd"/>
    <w:p>
      <w:pPr>
        <w:pStyle w:val="Heading2"/>
      </w:pPr>
      <w:r>
        <w:t xml:space="preserve">II. Moscow Market Context: Why Industrial Engineering is Non-Negotiable</w:t>
      </w:r>
    </w:p>
    <w:p>
      <w:pPr>
        <w:pStyle w:val="FirstParagraph"/>
      </w:pPr>
      <w:r>
        <w:t xml:space="preserve">The Moscow industrial sector (representing 38% of Russia's manufacturing output) faces unique challenges: stringent GOST compliance requirements, complex logistics corridors to Eurasian markets, and a 15% skilled labor shortage in specialized engineering roles. Our sales data reveals that 72% of new enterprise contracts in Moscow now explicitly require demonstrable process optimization capabilities during the RFP phase. Industrial Engineers are no longer auxiliary staff – they are strategic sales enablers. In Q3, clients in Moscow's automotive (Tula/Moscow region), metallurgy, and pharmaceutical sectors prioritized vendors with embedded Industrial Engineering expertise by a 3:1 margin over competitors lacking this capability.</w:t>
      </w:r>
    </w:p>
    <w:bookmarkEnd w:id="21"/>
    <w:bookmarkStart w:id="22" w:name="X5d344bba645e0c6b2acb7c2ffe96913a0e962b9"/>
    <w:p>
      <w:pPr>
        <w:pStyle w:val="Heading2"/>
      </w:pPr>
      <w:r>
        <w:t xml:space="preserve">III. Quantified Sales Impact of Industrial Engineers in Moscow</w:t>
      </w:r>
    </w:p>
    <w:p>
      <w:pPr>
        <w:pStyle w:val="FirstParagraph"/>
      </w:pPr>
      <w:r>
        <w:t xml:space="preserve">We analyzed 47 active projects across Moscow metro area from July-September 2023, segmented by whether Industrial Engineers led the operational solution design:</w:t>
      </w:r>
    </w:p>
    <w:p>
      <w:pPr>
        <w:pStyle w:val="BodyText"/>
      </w:pPr>
      <w:r>
        <w:t xml:space="preserve">Performance Metric</w:t>
      </w:r>
    </w:p>
    <w:p>
      <w:pPr>
        <w:pStyle w:val="BodyText"/>
      </w:pPr>
      <w:r>
        <w:t xml:space="preserve">With Industrial Engineer</w:t>
      </w:r>
    </w:p>
    <w:p>
      <w:pPr>
        <w:pStyle w:val="BodyText"/>
      </w:pPr>
      <w:r>
        <w:t xml:space="preserve">Without Industrial Engineer</w:t>
      </w:r>
    </w:p>
    <w:p>
      <w:pPr>
        <w:pStyle w:val="BodyText"/>
      </w:pPr>
      <w:r>
        <w:t xml:space="preserve">Difference</w:t>
      </w:r>
    </w:p>
    <w:p>
      <w:pPr>
        <w:pStyle w:val="BodyText"/>
      </w:pPr>
      <w:r>
        <w:t xml:space="preserve">Sales Cycle Time (Days)</w:t>
      </w:r>
    </w:p>
    <w:p>
      <w:pPr>
        <w:pStyle w:val="BodyText"/>
      </w:pPr>
      <w:r>
        <w:t xml:space="preserve">28.3 days</w:t>
      </w:r>
    </w:p>
    <w:p>
      <w:pPr>
        <w:pStyle w:val="BodyText"/>
      </w:pPr>
      <w:r>
        <w:t xml:space="preserve">34.7 days</w:t>
      </w:r>
    </w:p>
    <w:p>
      <w:pPr>
        <w:pStyle w:val="BodyText"/>
      </w:pPr>
      <w:r>
        <w:t xml:space="preserve">-18.4%</w:t>
      </w:r>
    </w:p>
    <w:p>
      <w:pPr>
        <w:pStyle w:val="BodyText"/>
      </w:pPr>
      <w:r>
        <w:t xml:space="preserve">New Client Acquisition Rate</w:t>
      </w:r>
    </w:p>
    <w:p>
      <w:pPr>
        <w:pStyle w:val="BodyText"/>
      </w:pPr>
      <w:r>
        <w:t xml:space="preserve">22.5%</w:t>
      </w:r>
    </w:p>
    <w:p>
      <w:pPr>
        <w:pStyle w:val="BodyText"/>
      </w:pPr>
      <w:r>
        <w:t xml:space="preserve">15.6%</w:t>
      </w:r>
    </w:p>
    <w:p>
      <w:pPr>
        <w:pStyle w:val="BodyText"/>
      </w:pPr>
      <w:r>
        <w:t xml:space="preserve">+44.2% (Absolute)</w:t>
      </w:r>
    </w:p>
    <w:p>
      <w:pPr>
        <w:pStyle w:val="BodyText"/>
      </w:pPr>
      <w:r>
        <w:t xml:space="preserve">Contract Value per Deal (₽)</w:t>
      </w:r>
    </w:p>
    <w:p>
      <w:pPr>
        <w:pStyle w:val="BodyText"/>
      </w:pPr>
      <w:r>
        <w:t xml:space="preserve">18,700,000</w:t>
      </w:r>
    </w:p>
    <w:p>
      <w:pPr>
        <w:pStyle w:val="BodyText"/>
      </w:pPr>
      <w:r>
        <w:t xml:space="preserve">14,950,000</w:t>
      </w:r>
    </w:p>
    <w:p>
      <w:pPr>
        <w:pStyle w:val="BodyText"/>
      </w:pPr>
      <w:r>
        <w:t xml:space="preserve">+25.1%</w:t>
      </w:r>
    </w:p>
    <w:p>
      <w:pPr>
        <w:pStyle w:val="BodyText"/>
      </w:pPr>
      <w:r>
        <w:t xml:space="preserve">Client Retention Rate (YTD)</w:t>
      </w:r>
    </w:p>
    <w:p>
      <w:pPr>
        <w:pStyle w:val="BodyText"/>
      </w:pPr>
      <w:r>
        <w:t xml:space="preserve">89.3%</w:t>
      </w:r>
    </w:p>
    <w:p>
      <w:pPr>
        <w:pStyle w:val="BodyText"/>
      </w:pPr>
      <w:r>
        <w:t xml:space="preserve">73.8%</w:t>
      </w:r>
    </w:p>
    <w:p>
      <w:pPr>
        <w:pStyle w:val="BodyText"/>
      </w:pPr>
      <w:r>
        <w:t xml:space="preserve">+15.5 percentage points</w:t>
      </w:r>
    </w:p>
    <w:p>
      <w:pPr>
        <w:pStyle w:val="BodyText"/>
      </w:pPr>
      <w:r>
        <w:t xml:space="preserve">Crucially, these results were achieved despite Moscow's 2023 market contraction (-4.1% YoY in industrial investment). The Industrial Engineer’s ability to identify hidden cost drivers (e.g., warehouse layout inefficiencies causing 17% higher logistics costs) directly addressed client pain points during sales negotiations, making our proposals irresistible.</w:t>
      </w:r>
    </w:p>
    <w:bookmarkEnd w:id="22"/>
    <w:bookmarkStart w:id="23" w:name="X6f00fbe04f286e5146738d3f1317e4701be5bd9"/>
    <w:p>
      <w:pPr>
        <w:pStyle w:val="Heading2"/>
      </w:pPr>
      <w:r>
        <w:t xml:space="preserve">IV. Key Moscow-Specific Value Propositions Driven by Industrial Engineers</w:t>
      </w:r>
    </w:p>
    <w:p>
      <w:pPr>
        <w:pStyle w:val="FirstParagraph"/>
      </w:pPr>
      <w:r>
        <w:t xml:space="preserve">Our Industrial Engineers in Moscow don't just solve generic problems – they tackle region-specific challenges:</w:t>
      </w:r>
    </w:p>
    <w:p>
      <w:pPr>
        <w:numPr>
          <w:ilvl w:val="0"/>
          <w:numId w:val="1001"/>
        </w:numPr>
        <w:pStyle w:val="Compact"/>
      </w:pPr>
      <w:r>
        <w:rPr>
          <w:bCs/>
          <w:b/>
        </w:rPr>
        <w:t xml:space="preserve">Supply Chain Localization Strategy:</w:t>
      </w:r>
      <w:r>
        <w:t xml:space="preserve"> </w:t>
      </w:r>
      <w:r>
        <w:t xml:space="preserve">Engineered solutions for Russian-sourced raw material integration reduced client lead times by 31% for a major Moscow-based machinery manufacturer, directly enabling a 2M₽ contract upsell.</w:t>
      </w:r>
    </w:p>
    <w:p>
      <w:pPr>
        <w:numPr>
          <w:ilvl w:val="0"/>
          <w:numId w:val="1001"/>
        </w:numPr>
        <w:pStyle w:val="Compact"/>
      </w:pPr>
      <w:r>
        <w:rPr>
          <w:bCs/>
          <w:b/>
        </w:rPr>
        <w:t xml:space="preserve">GOST Compliance Acceleration:</w:t>
      </w:r>
      <w:r>
        <w:t xml:space="preserve"> </w:t>
      </w:r>
      <w:r>
        <w:t xml:space="preserve">Pre-emptive process redesign for a pharmaceutical client (Moscow Oblast) avoided $280K in potential non-compliance penalties, securing their 3-year renewal and referencing us to two new prospects in the sector.</w:t>
      </w:r>
    </w:p>
    <w:p>
      <w:pPr>
        <w:numPr>
          <w:ilvl w:val="0"/>
          <w:numId w:val="1001"/>
        </w:numPr>
        <w:pStyle w:val="Compact"/>
      </w:pPr>
      <w:r>
        <w:rPr>
          <w:bCs/>
          <w:b/>
        </w:rPr>
        <w:t xml:space="preserve">Labor-Intensive Process Optimization:</w:t>
      </w:r>
      <w:r>
        <w:t xml:space="preserve"> </w:t>
      </w:r>
      <w:r>
        <w:t xml:space="preserve">At a metal fabrication plant near Moscow’s Lyubertsy Industrial Park, an Industrial Engineer's workflow redesign increased output by 22% using existing staff, eliminating the client's need for costly external recruitment – a key selling point in Moscow’s tight labor market.</w:t>
      </w:r>
    </w:p>
    <w:bookmarkEnd w:id="23"/>
    <w:bookmarkStart w:id="24" w:name="Xe8ec585e7934afb19057f383544de6adbfe289c"/>
    <w:p>
      <w:pPr>
        <w:pStyle w:val="Heading2"/>
      </w:pPr>
      <w:r>
        <w:t xml:space="preserve">V. Case Study: Automotive Tier-1 Supplier (Moscow)</w:t>
      </w:r>
    </w:p>
    <w:p>
      <w:pPr>
        <w:pStyle w:val="FirstParagraph"/>
      </w:pPr>
      <w:r>
        <w:rPr>
          <w:iCs/>
          <w:i/>
        </w:rPr>
        <w:t xml:space="preserve">Client Challenge:</w:t>
      </w:r>
      <w:r>
        <w:t xml:space="preserve"> </w:t>
      </w:r>
      <w:r>
        <w:t xml:space="preserve">A major automotive supplier in Moscow faced 37% production bottlenecks at their assembly line, risking delivery penalties for OEMs. Competitors proposed expensive robotics but lacked local integration expertise.</w:t>
      </w:r>
    </w:p>
    <w:p>
      <w:pPr>
        <w:pStyle w:val="BodyText"/>
      </w:pPr>
      <w:r>
        <w:rPr>
          <w:iCs/>
          <w:i/>
        </w:rPr>
        <w:t xml:space="preserve">Sales &amp; Engineering Response:</w:t>
      </w:r>
      <w:r>
        <w:t xml:space="preserve"> </w:t>
      </w:r>
      <w:r>
        <w:t xml:space="preserve">Our Industrial Engineer (certified with MOSCOW-registered GOST certification) conducted on-site time-motion studies, identifying 3 critical handoff inefficiencies and tooling misalignment issues. Proposed a phased workflow redesign using existing equipment – costing 65% less than robotic solutions.</w:t>
      </w:r>
    </w:p>
    <w:p>
      <w:pPr>
        <w:pStyle w:val="BodyText"/>
      </w:pPr>
      <w:r>
        <w:rPr>
          <w:iCs/>
          <w:i/>
        </w:rPr>
        <w:t xml:space="preserve">Result:</w:t>
      </w:r>
      <w:r>
        <w:t xml:space="preserve"> </w:t>
      </w:r>
      <w:r>
        <w:t xml:space="preserve">29% bottleneck reduction within 8 weeks. This directly enabled the client to secure a €14M expansion contract from their OEM (Volkswagen Group Russia). The project generated an immediate €1.8M sales win for our company and became a reference case for all subsequent Moscow automotive sales – driving 5 follow-on proposals in Q3 alone.</w:t>
      </w:r>
    </w:p>
    <w:bookmarkEnd w:id="24"/>
    <w:bookmarkStart w:id="25" w:name="Xc689635710df24baec79dc5380499513c7f6428"/>
    <w:p>
      <w:pPr>
        <w:pStyle w:val="Heading2"/>
      </w:pPr>
      <w:r>
        <w:t xml:space="preserve">VI. Strategic Recommendations for Sustained Growth in Moscow</w:t>
      </w:r>
    </w:p>
    <w:p>
      <w:pPr>
        <w:pStyle w:val="FirstParagraph"/>
      </w:pPr>
      <w:r>
        <w:t xml:space="preserve">Based on Q3 performance, we recommend:</w:t>
      </w:r>
    </w:p>
    <w:p>
      <w:pPr>
        <w:numPr>
          <w:ilvl w:val="0"/>
          <w:numId w:val="1002"/>
        </w:numPr>
        <w:pStyle w:val="Compact"/>
      </w:pPr>
      <w:r>
        <w:rPr>
          <w:bCs/>
          <w:b/>
        </w:rPr>
        <w:t xml:space="preserve">Industrial Engineer Ratio Increase:</w:t>
      </w:r>
      <w:r>
        <w:t xml:space="preserve"> </w:t>
      </w:r>
      <w:r>
        <w:t xml:space="preserve">Allocate 1 dedicated Industrial Engineer per $5M sales pipeline in Moscow (current ratio: 1:7.2). This directly correlates with the observed 14.2% faster conversion rate.</w:t>
      </w:r>
    </w:p>
    <w:p>
      <w:pPr>
        <w:numPr>
          <w:ilvl w:val="0"/>
          <w:numId w:val="1002"/>
        </w:numPr>
        <w:pStyle w:val="Compact"/>
      </w:pPr>
      <w:r>
        <w:rPr>
          <w:bCs/>
          <w:b/>
        </w:rPr>
        <w:t xml:space="preserve">Moscow-Specific Certification Investment:</w:t>
      </w:r>
      <w:r>
        <w:t xml:space="preserve"> </w:t>
      </w:r>
      <w:r>
        <w:t xml:space="preserve">Fund GOST and Russian labor law certifications for all engineers serving the region by Q1 2024 – a critical differentiator in RFP responses.</w:t>
      </w:r>
    </w:p>
    <w:p>
      <w:pPr>
        <w:numPr>
          <w:ilvl w:val="0"/>
          <w:numId w:val="1002"/>
        </w:numPr>
        <w:pStyle w:val="Compact"/>
      </w:pPr>
      <w:r>
        <w:rPr>
          <w:bCs/>
          <w:b/>
        </w:rPr>
        <w:t xml:space="preserve">Engineering-Led Sales Pilots:</w:t>
      </w:r>
      <w:r>
        <w:t xml:space="preserve"> </w:t>
      </w:r>
      <w:r>
        <w:t xml:space="preserve">Embed Industrial Engineers within sales teams for high-value Moscow accounts (target: top 30 clients) to co-develop proposals, leveraging their technical credibility during client workshops.</w:t>
      </w:r>
    </w:p>
    <w:bookmarkEnd w:id="25"/>
    <w:bookmarkStart w:id="26" w:name="vii.-conclusion"/>
    <w:p>
      <w:pPr>
        <w:pStyle w:val="Heading2"/>
      </w:pPr>
      <w:r>
        <w:t xml:space="preserve">VII. Conclusion</w:t>
      </w:r>
    </w:p>
    <w:p>
      <w:pPr>
        <w:pStyle w:val="FirstParagraph"/>
      </w:pPr>
      <w:r>
        <w:t xml:space="preserve">The Industrial Engineer has evolved from an operational role to the central catalyst of revenue growth in the Russia Moscow industrial market. In a region where supply chain complexity, regulatory rigor, and labor dynamics define success, their expertise directly translates into higher-value contracts, accelerated sales cycles, and unmatched client retention. Our data confirms that integrating certified Industrial Engineers into sales strategy isn't an operational expense – it's the most effective revenue multiplier in the Moscow marketplace today. We project a minimum 20% increase in Q4 contract value and 15% higher net new business if these recommendations are implemented immediately, solidifying our competitive position as Russia’s industrial engineering partner of choice.</w:t>
      </w:r>
    </w:p>
    <w:p>
      <w:pPr>
        <w:pStyle w:val="BodyText"/>
      </w:pPr>
      <w:r>
        <w:rPr>
          <w:bCs/>
          <w:b/>
        </w:rPr>
        <w:t xml:space="preserve">Prepared By:</w:t>
      </w:r>
      <w:r>
        <w:t xml:space="preserve"> </w:t>
      </w:r>
      <w:r>
        <w:t xml:space="preserve">Global Sales Strategy Group</w:t>
      </w:r>
      <w:r>
        <w:br/>
      </w:r>
      <w:r>
        <w:rPr>
          <w:bCs/>
          <w:b/>
        </w:rPr>
        <w:t xml:space="preserve">Contact:</w:t>
      </w:r>
      <w:r>
        <w:t xml:space="preserve"> </w:t>
      </w:r>
      <w:r>
        <w:t xml:space="preserve">sales.strategy@company.com | +7 (495) 123-45-67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 Impact in Moscow Market</dc:title>
  <dc:creator/>
  <dc:language>en</dc:language>
  <cp:keywords/>
  <dcterms:created xsi:type="dcterms:W3CDTF">2026-07-21T14:38:33Z</dcterms:created>
  <dcterms:modified xsi:type="dcterms:W3CDTF">2026-07-21T14:38:33Z</dcterms:modified>
</cp:coreProperties>
</file>

<file path=docProps/custom.xml><?xml version="1.0" encoding="utf-8"?>
<Properties xmlns="http://schemas.openxmlformats.org/officeDocument/2006/custom-properties" xmlns:vt="http://schemas.openxmlformats.org/officeDocument/2006/docPropsVTypes"/>
</file>