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Journalist</w:t>
      </w:r>
      <w:r>
        <w:t xml:space="preserve"> </w:t>
      </w:r>
      <w:r>
        <w:t xml:space="preserve">Performance</w:t>
      </w:r>
      <w:r>
        <w:t xml:space="preserve"> </w:t>
      </w:r>
      <w:r>
        <w:t xml:space="preserve">in</w:t>
      </w:r>
      <w:r>
        <w:t xml:space="preserve"> </w:t>
      </w:r>
      <w:r>
        <w:t xml:space="preserve">Japan</w:t>
      </w:r>
      <w:r>
        <w:t xml:space="preserve"> </w:t>
      </w:r>
      <w:r>
        <w:t xml:space="preserve">Kyoto</w:t>
      </w:r>
    </w:p>
    <w:bookmarkStart w:id="28" w:name="Xd23dfd5d4ed8993b3368a3c35cb939f4b048c66"/>
    <w:p>
      <w:pPr>
        <w:pStyle w:val="Heading1"/>
      </w:pPr>
      <w:r>
        <w:t xml:space="preserve">SALES REPORT ANALYSIS OF JOURNALIST PERFORMANCE IN KYOTO, JAPAN</w:t>
      </w:r>
    </w:p>
    <w:p>
      <w:pPr>
        <w:pStyle w:val="FirstParagraph"/>
      </w:pPr>
      <w:r>
        <w:t xml:space="preserve">Prepared for Kyoto Media Group Leadership | Q3 2023 Quarterly Review</w:t>
      </w:r>
    </w:p>
    <w:bookmarkStart w:id="20" w:name="executive-summary"/>
    <w:p>
      <w:pPr>
        <w:pStyle w:val="Heading2"/>
      </w:pPr>
      <w:r>
        <w:t xml:space="preserve">Executive Summary</w:t>
      </w:r>
    </w:p>
    <w:p>
      <w:pPr>
        <w:pStyle w:val="FirstParagraph"/>
      </w:pPr>
      <w:r>
        <w:t xml:space="preserve">This comprehensive Sales Report details the exceptional performance metrics of our senior journalist, Ms. Akari Tanaka, operating within the dynamic media landscape of Japan Kyoto. As Kyoto continues to position itself as a global cultural and technological hub, this report demonstrates how strategic journalistic work directly correlates with revenue growth across our digital platforms. The data confirms that Ms. Tanaka's specialized reporting on Kyoto's unique blend of tradition and innovation has generated unprecedented engagement metrics, translating directly into measurable sales impact for Japan Kyoto-based media operations.</w:t>
      </w:r>
    </w:p>
    <w:bookmarkEnd w:id="20"/>
    <w:bookmarkStart w:id="21" w:name="market-context-in-kyoto-japan"/>
    <w:p>
      <w:pPr>
        <w:pStyle w:val="Heading2"/>
      </w:pPr>
      <w:r>
        <w:t xml:space="preserve">Market Context in Kyoto, Japan</w:t>
      </w:r>
    </w:p>
    <w:p>
      <w:pPr>
        <w:pStyle w:val="FirstParagraph"/>
      </w:pPr>
      <w:r>
        <w:t xml:space="preserve">Japan's capital city of Kyoto presents a distinctive market environment where ancient traditions coexist with cutting-edge technology. Our Sales Report analysis identifies that Kyoto residents and international visitors exhibit higher engagement rates for culturally authentic content compared to other Japanese regions. As noted in our Japan Kyoto consumer behavior study, 68% of local audiences actively seek out journalism that captures both historical significance and contemporary relevance – a niche perfectly aligned with Ms. Tanaka's reporting style. This market positioning has become the cornerstone of her sales impact.</w:t>
      </w:r>
    </w:p>
    <w:bookmarkEnd w:id="21"/>
    <w:bookmarkStart w:id="22" w:name="journalist-performance-metrics"/>
    <w:p>
      <w:pPr>
        <w:pStyle w:val="Heading2"/>
      </w:pPr>
      <w:r>
        <w:t xml:space="preserve">Journalist Performance Metrics</w:t>
      </w:r>
    </w:p>
    <w:p>
      <w:pPr>
        <w:pStyle w:val="FirstParagraph"/>
      </w:pPr>
      <w:r>
        <w:t xml:space="preserve">Our Sales Report quantifies Ms. Tanaka's contribution through three critical revenue channels:</w:t>
      </w:r>
    </w:p>
    <w:p>
      <w:pPr>
        <w:numPr>
          <w:ilvl w:val="0"/>
          <w:numId w:val="1001"/>
        </w:numPr>
        <w:pStyle w:val="Compact"/>
      </w:pPr>
      <w:r>
        <w:rPr>
          <w:bCs/>
          <w:b/>
        </w:rPr>
        <w:t xml:space="preserve">Content Monetization:</w:t>
      </w:r>
      <w:r>
        <w:t xml:space="preserve"> </w:t>
      </w:r>
      <w:r>
        <w:t xml:space="preserve">Generated ¥8,742,000 in direct ad revenue through her Kyoto-focused series "Threads of Tomorrow" (covering AI integration in traditional tea ceremonies)</w:t>
      </w:r>
    </w:p>
    <w:p>
      <w:pPr>
        <w:numPr>
          <w:ilvl w:val="0"/>
          <w:numId w:val="1001"/>
        </w:numPr>
        <w:pStyle w:val="Compact"/>
      </w:pPr>
      <w:r>
        <w:rPr>
          <w:bCs/>
          <w:b/>
        </w:rPr>
        <w:t xml:space="preserve">Premium Subscription Uplift:</w:t>
      </w:r>
      <w:r>
        <w:t xml:space="preserve"> </w:t>
      </w:r>
      <w:r>
        <w:t xml:space="preserve">Articles by this journalist drove a 32% increase in premium subscriptions among Kyoto residents (vs. 18% industry average)</w:t>
      </w:r>
    </w:p>
    <w:p>
      <w:pPr>
        <w:numPr>
          <w:ilvl w:val="0"/>
          <w:numId w:val="1001"/>
        </w:numPr>
        <w:pStyle w:val="Compact"/>
      </w:pPr>
      <w:r>
        <w:rPr>
          <w:bCs/>
          <w:b/>
        </w:rPr>
        <w:t xml:space="preserve">Brand Partnership Sales:</w:t>
      </w:r>
      <w:r>
        <w:t xml:space="preserve"> </w:t>
      </w:r>
      <w:r>
        <w:t xml:space="preserve">Secured three high-value partnerships with Kyoto-based cultural institutions, generating ¥4,200,000 in sponsorship revenue</w:t>
      </w:r>
    </w:p>
    <w:p>
      <w:pPr>
        <w:pStyle w:val="FirstParagraph"/>
      </w:pPr>
      <w:r>
        <w:t xml:space="preserve">Notably, her article "Sakura Tech: How Kyoto's Cherry Blossoms Are Powering Japan's AI Revolution" achieved 1.2M unique views in 72 hours – a 45% increase over previous bests and directly contributing to the highest quarterly ad RPM (revenue per mille) in our company's history for Japan Kyoto operations.</w:t>
      </w:r>
    </w:p>
    <w:bookmarkEnd w:id="22"/>
    <w:bookmarkStart w:id="23" w:name="strategic-impact-analysis"/>
    <w:p>
      <w:pPr>
        <w:pStyle w:val="Heading2"/>
      </w:pPr>
      <w:r>
        <w:t xml:space="preserve">Strategic Impact Analysis</w:t>
      </w:r>
    </w:p>
    <w:p>
      <w:pPr>
        <w:pStyle w:val="FirstParagraph"/>
      </w:pPr>
      <w:r>
        <w:t xml:space="preserve">As detailed in our Sales Report, Ms. Tanaka's unique approach creates a virtuous cycle for Japan Kyoto media economics:</w:t>
      </w:r>
    </w:p>
    <w:p>
      <w:pPr>
        <w:pStyle w:val="BodyText"/>
      </w:pPr>
      <w:r>
        <w:rPr>
          <w:bCs/>
          <w:b/>
        </w:rPr>
        <w:t xml:space="preserve">Authenticity Drives Engagement:</w:t>
      </w:r>
      <w:r>
        <w:t xml:space="preserve"> </w:t>
      </w:r>
      <w:r>
        <w:t xml:space="preserve">Her deep understanding of Kyoto's cultural nuances – gained through 8 years of local reporting – resulted in 73% higher average time-on-page (vs. 42% industry benchmark). This engagement directly translates to premium ad placements, with brands specifically requesting "Kyoto-focused" coverage for their campaigns.</w:t>
      </w:r>
    </w:p>
    <w:p>
      <w:pPr>
        <w:pStyle w:val="BodyText"/>
      </w:pPr>
      <w:r>
        <w:rPr>
          <w:bCs/>
          <w:b/>
        </w:rPr>
        <w:t xml:space="preserve">Hyper-Local Storytelling:</w:t>
      </w:r>
      <w:r>
        <w:t xml:space="preserve"> </w:t>
      </w:r>
      <w:r>
        <w:t xml:space="preserve">In an era of globalized media, our Sales Report identifies that Kyoto-specific content generates 3.2x more social shares than generic Japan coverage. Her report on "The Last Hand-Weavers of Gion" triggered viral sharing across Japanese diaspora communities, driving a 27% surge in international subscription inquiries.</w:t>
      </w:r>
    </w:p>
    <w:p>
      <w:pPr>
        <w:pStyle w:val="BodyText"/>
      </w:pPr>
      <w:r>
        <w:rPr>
          <w:bCs/>
          <w:b/>
        </w:rPr>
        <w:t xml:space="preserve">Seasonal Sales Alignment:</w:t>
      </w:r>
      <w:r>
        <w:t xml:space="preserve"> </w:t>
      </w:r>
      <w:r>
        <w:t xml:space="preserve">Ms. Tanaka's reporting calendar strategically aligns with Kyoto's tourism cycles. Her pre-sakura season coverage generated 68% of annual tourism-related ad revenue during Q1, demonstrating how journalistic timing directly impacts sales velocity in Japan Kyoto markets.</w:t>
      </w:r>
    </w:p>
    <w:bookmarkEnd w:id="23"/>
    <w:bookmarkStart w:id="24" w:name="challenges-and-competitive-landscape"/>
    <w:p>
      <w:pPr>
        <w:pStyle w:val="Heading2"/>
      </w:pPr>
      <w:r>
        <w:t xml:space="preserve">Challenges and Competitive Landscape</w:t>
      </w:r>
    </w:p>
    <w:p>
      <w:pPr>
        <w:pStyle w:val="FirstParagraph"/>
      </w:pPr>
      <w:r>
        <w:t xml:space="preserve">Our Sales Report acknowledges market challenges specific to Japan Kyoto journalism:</w:t>
      </w:r>
    </w:p>
    <w:p>
      <w:pPr>
        <w:numPr>
          <w:ilvl w:val="0"/>
          <w:numId w:val="1002"/>
        </w:numPr>
        <w:pStyle w:val="Compact"/>
      </w:pPr>
      <w:r>
        <w:rPr>
          <w:bCs/>
          <w:b/>
        </w:rPr>
        <w:t xml:space="preserve">Cultural Sensitivity:</w:t>
      </w:r>
      <w:r>
        <w:t xml:space="preserve"> </w:t>
      </w:r>
      <w:r>
        <w:t xml:space="preserve">Navigating Kyoto's traditional communities requires nuanced approach – Ms. Tanaka spent 21 days in Fushimi Inari shrine community to produce ethical coverage, directly preventing potential revenue loss from cultural missteps</w:t>
      </w:r>
    </w:p>
    <w:p>
      <w:pPr>
        <w:numPr>
          <w:ilvl w:val="0"/>
          <w:numId w:val="1002"/>
        </w:numPr>
        <w:pStyle w:val="Compact"/>
      </w:pPr>
      <w:r>
        <w:rPr>
          <w:bCs/>
          <w:b/>
        </w:rPr>
        <w:t xml:space="preserve">Competitive Pressure:</w:t>
      </w:r>
      <w:r>
        <w:t xml:space="preserve"> </w:t>
      </w:r>
      <w:r>
        <w:t xml:space="preserve">Major Tokyo media outlets have increased investment in Kyoto coverage, but our Sales Report shows her exclusive access to Kyoto's emerging tech-meets-tradition startups (like 12 new ventures identified in Q3) gives us competitive differentiation</w:t>
      </w:r>
    </w:p>
    <w:p>
      <w:pPr>
        <w:numPr>
          <w:ilvl w:val="0"/>
          <w:numId w:val="1002"/>
        </w:numPr>
        <w:pStyle w:val="Compact"/>
      </w:pPr>
      <w:r>
        <w:rPr>
          <w:bCs/>
          <w:b/>
        </w:rPr>
        <w:t xml:space="preserve">Tech Adaptation:</w:t>
      </w:r>
      <w:r>
        <w:t xml:space="preserve"> </w:t>
      </w:r>
      <w:r>
        <w:t xml:space="preserve">Implementing AR features for her "Digital Kintsugi" series required platform upgrades, but yielded 34% higher mobile conversion rates – a key sales driver for Japan Kyoto's high smartphone penetration market</w:t>
      </w:r>
    </w:p>
    <w:bookmarkEnd w:id="24"/>
    <w:bookmarkStart w:id="25" w:name="financial-impact-and-future-projections"/>
    <w:p>
      <w:pPr>
        <w:pStyle w:val="Heading2"/>
      </w:pPr>
      <w:r>
        <w:t xml:space="preserve">Financial Impact and Future Projections</w:t>
      </w:r>
    </w:p>
    <w:p>
      <w:pPr>
        <w:pStyle w:val="FirstParagraph"/>
      </w:pPr>
      <w:r>
        <w:t xml:space="preserve">Consolidated data from our Sales Report demonstrates Ms. Tanaka's direct contribution to Japan Kyoto revenue growth:</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w:t>
            </w:r>
          </w:p>
        </w:tc>
        <w:tc>
          <w:tcPr/>
          <w:p>
            <w:pPr>
              <w:pStyle w:val="Compact"/>
              <w:jc w:val="left"/>
            </w:pPr>
            <w:r>
              <w:t xml:space="preserve">Q3 2022</w:t>
            </w:r>
          </w:p>
        </w:tc>
        <w:tc>
          <w:tcPr/>
          <w:p>
            <w:pPr>
              <w:pStyle w:val="Compact"/>
              <w:jc w:val="left"/>
            </w:pPr>
            <w:r>
              <w:t xml:space="preserve">Δ%</w:t>
            </w:r>
          </w:p>
        </w:tc>
      </w:tr>
      <w:tr>
        <w:tc>
          <w:tcPr/>
          <w:p>
            <w:pPr>
              <w:pStyle w:val="Compact"/>
              <w:jc w:val="left"/>
            </w:pPr>
            <w:r>
              <w:t xml:space="preserve">Revenue from Kyoto Coverage</w:t>
            </w:r>
          </w:p>
        </w:tc>
        <w:tc>
          <w:tcPr/>
          <w:p>
            <w:pPr>
              <w:pStyle w:val="Compact"/>
              <w:jc w:val="left"/>
            </w:pPr>
            <w:r>
              <w:t xml:space="preserve">¥12,942,000</w:t>
            </w:r>
          </w:p>
        </w:tc>
        <w:tc>
          <w:tcPr/>
          <w:p>
            <w:pPr>
              <w:pStyle w:val="Compact"/>
              <w:jc w:val="left"/>
            </w:pPr>
            <w:r>
              <w:t xml:space="preserve">¥7,365,500</w:t>
            </w:r>
          </w:p>
        </w:tc>
        <w:tc>
          <w:tcPr/>
          <w:p>
            <w:pPr>
              <w:pStyle w:val="Compact"/>
              <w:jc w:val="left"/>
            </w:pPr>
            <w:r>
              <w:t xml:space="preserve">+75.7%</w:t>
            </w:r>
          </w:p>
        </w:tc>
      </w:tr>
      <w:tr>
        <w:tc>
          <w:tcPr/>
          <w:p>
            <w:pPr>
              <w:pStyle w:val="Compact"/>
              <w:jc w:val="left"/>
            </w:pPr>
            <w:r>
              <w:t xml:space="preserve">Premium Subscriptions (Kyoto)</w:t>
            </w:r>
          </w:p>
        </w:tc>
        <w:tc>
          <w:tcPr/>
          <w:p>
            <w:pPr>
              <w:pStyle w:val="Compact"/>
              <w:jc w:val="left"/>
            </w:pPr>
            <w:r>
              <w:t xml:space="preserve">+32.1%</w:t>
            </w:r>
          </w:p>
        </w:tc>
        <w:tc>
          <w:tcPr/>
          <w:p>
            <w:pPr>
              <w:pStyle w:val="Compact"/>
              <w:jc w:val="left"/>
            </w:pPr>
            <w:r>
              <w:t xml:space="preserve">+9.7%</w:t>
            </w:r>
          </w:p>
        </w:tc>
        <w:tc>
          <w:tcPr/>
          <w:p>
            <w:pPr>
              <w:pStyle w:val="Compact"/>
              <w:jc w:val="left"/>
            </w:pPr>
            <w:r>
              <w:t xml:space="preserve">+22.4 pts</w:t>
            </w:r>
          </w:p>
        </w:tc>
      </w:tr>
      <w:tr>
        <w:tc>
          <w:tcPr/>
          <w:p>
            <w:pPr>
              <w:pStyle w:val="Compact"/>
              <w:jc w:val="left"/>
            </w:pPr>
            <w:r>
              <w:t xml:space="preserve">Brand Partnership Value</w:t>
            </w:r>
          </w:p>
        </w:tc>
        <w:tc>
          <w:tcPr/>
          <w:p>
            <w:pPr>
              <w:pStyle w:val="Compact"/>
              <w:jc w:val="left"/>
            </w:pPr>
            <w:r>
              <w:t xml:space="preserve">¥4,200,000</w:t>
            </w:r>
          </w:p>
        </w:tc>
        <w:tc>
          <w:tcPr/>
          <w:p>
            <w:pPr>
              <w:pStyle w:val="Compact"/>
              <w:jc w:val="left"/>
            </w:pPr>
            <w:r>
              <w:t xml:space="preserve">¥1,852,356</w:t>
            </w:r>
          </w:p>
        </w:tc>
        <w:tc>
          <w:tcPr/>
          <w:p>
            <w:pPr>
              <w:pStyle w:val="Compact"/>
              <w:jc w:val="left"/>
            </w:pPr>
            <w:r>
              <w:t xml:space="preserve">+126.8%</w:t>
            </w:r>
          </w:p>
        </w:tc>
      </w:tr>
    </w:tbl>
    <w:bookmarkEnd w:id="25"/>
    <w:bookmarkStart w:id="26" w:name="strategic-recommendations"/>
    <w:p>
      <w:pPr>
        <w:pStyle w:val="Heading2"/>
      </w:pPr>
      <w:r>
        <w:t xml:space="preserve">Strategic Recommendations</w:t>
      </w:r>
    </w:p>
    <w:p>
      <w:pPr>
        <w:pStyle w:val="FirstParagraph"/>
      </w:pPr>
      <w:r>
        <w:t xml:space="preserve">Based on this Sales Report analysis, we recommend:</w:t>
      </w:r>
    </w:p>
    <w:p>
      <w:pPr>
        <w:numPr>
          <w:ilvl w:val="0"/>
          <w:numId w:val="1003"/>
        </w:numPr>
        <w:pStyle w:val="Compact"/>
      </w:pPr>
      <w:r>
        <w:rPr>
          <w:bCs/>
          <w:b/>
        </w:rPr>
        <w:t xml:space="preserve">Expand Kyoto Journalist Network:</w:t>
      </w:r>
      <w:r>
        <w:t xml:space="preserve"> </w:t>
      </w:r>
      <w:r>
        <w:t xml:space="preserve">Allocate additional budget to recruit two more Kyoto-based journalists specializing in cultural-tech intersections</w:t>
      </w:r>
    </w:p>
    <w:p>
      <w:pPr>
        <w:numPr>
          <w:ilvl w:val="0"/>
          <w:numId w:val="1003"/>
        </w:numPr>
        <w:pStyle w:val="Compact"/>
      </w:pPr>
      <w:r>
        <w:rPr>
          <w:bCs/>
          <w:b/>
        </w:rPr>
        <w:t xml:space="preserve">Productize Journalist Content:</w:t>
      </w:r>
      <w:r>
        <w:t xml:space="preserve"> </w:t>
      </w:r>
      <w:r>
        <w:t xml:space="preserve">Develop "Kyoto Insights" subscription package for Japan business clients (projected 30% revenue stream from this by Q1 2024)</w:t>
      </w:r>
    </w:p>
    <w:p>
      <w:pPr>
        <w:numPr>
          <w:ilvl w:val="0"/>
          <w:numId w:val="1003"/>
        </w:numPr>
        <w:pStyle w:val="Compact"/>
      </w:pPr>
      <w:r>
        <w:rPr>
          <w:bCs/>
          <w:b/>
        </w:rPr>
        <w:t xml:space="preserve">Technology Integration:</w:t>
      </w:r>
      <w:r>
        <w:t xml:space="preserve"> </w:t>
      </w:r>
      <w:r>
        <w:t xml:space="preserve">Implement AI-assisted sentiment analysis of Kyoto-specific content to optimize sales timing based on our Sales Report findings</w:t>
      </w:r>
    </w:p>
    <w:p>
      <w:pPr>
        <w:pStyle w:val="FirstParagraph"/>
      </w:pPr>
      <w:r>
        <w:t xml:space="preserve">The success of Ms. Tanaka's work proves that in Japan Kyoto's media landscape, exceptional journalism isn't just an editorial function – it's a core revenue driver. Her ability to translate Kyoto's cultural essence into compelling content that resonates with both local audiences and global brands has redefined our sales playbook. As this Sales Report clearly demonstrates, investing in specialized journalists deeply rooted in Japan Kyoto culture delivers quantifiable financial returns that far exceed industry averages.</w:t>
      </w:r>
    </w:p>
    <w:bookmarkEnd w:id="26"/>
    <w:bookmarkStart w:id="27" w:name="conclusion"/>
    <w:p>
      <w:pPr>
        <w:pStyle w:val="Heading2"/>
      </w:pPr>
      <w:r>
        <w:t xml:space="preserve">Conclusion</w:t>
      </w:r>
    </w:p>
    <w:p>
      <w:pPr>
        <w:pStyle w:val="FirstParagraph"/>
      </w:pPr>
      <w:r>
        <w:t xml:space="preserve">Our Sales Report leaves no doubt: the journalist who understands Kyoto's soul generates extraordinary sales outcomes. In an era where content is saturated but authenticity is scarce, Ms. Tanaka's work represents a sustainable competitive advantage for our Japan Kyoto operations. We recommend institutionalizing this model across all regional journalism teams – because in the heart of Japan Kyoto, where tradition meets tomorrow, great journalism isn't just reported; it's sold.</w:t>
      </w:r>
    </w:p>
    <w:p>
      <w:pPr>
        <w:pStyle w:val="BodyText"/>
      </w:pPr>
      <w:r>
        <w:t xml:space="preserve">Prepared by: Media Strategy Department | Kyoto Media Group</w:t>
      </w:r>
    </w:p>
    <w:p>
      <w:pPr>
        <w:pStyle w:val="BodyText"/>
      </w:pPr>
      <w:r>
        <w:t xml:space="preserve">Date: October 26, 2023 | Sales Report Reference: JAP-KY-REP-0917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Journalist Performance in Japan Kyoto</dc:title>
  <dc:creator/>
  <dc:language>en</dc:language>
  <cp:keywords/>
  <dcterms:created xsi:type="dcterms:W3CDTF">2026-07-21T03:32:35Z</dcterms:created>
  <dcterms:modified xsi:type="dcterms:W3CDTF">2026-07-21T03:32:35Z</dcterms:modified>
</cp:coreProperties>
</file>

<file path=docProps/custom.xml><?xml version="1.0" encoding="utf-8"?>
<Properties xmlns="http://schemas.openxmlformats.org/officeDocument/2006/custom-properties" xmlns:vt="http://schemas.openxmlformats.org/officeDocument/2006/docPropsVTypes"/>
</file>