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Journalist</w:t>
      </w:r>
      <w:r>
        <w:t xml:space="preserve"> </w:t>
      </w:r>
      <w:r>
        <w:t xml:space="preserve">Network</w:t>
      </w:r>
      <w:r>
        <w:t xml:space="preserve"> </w:t>
      </w:r>
      <w:r>
        <w:t xml:space="preserve">Expansion</w:t>
      </w:r>
      <w:r>
        <w:t xml:space="preserve"> </w:t>
      </w:r>
      <w:r>
        <w:t xml:space="preserve">in</w:t>
      </w:r>
      <w:r>
        <w:t xml:space="preserve"> </w:t>
      </w:r>
      <w:r>
        <w:t xml:space="preserve">Moscow</w:t>
      </w:r>
    </w:p>
    <w:bookmarkStart w:id="28" w:name="Xf36664cd4e771bd32076faf8289ad29389ec5d6"/>
    <w:p>
      <w:pPr>
        <w:pStyle w:val="Heading1"/>
      </w:pPr>
      <w:r>
        <w:t xml:space="preserve">2024 Q3 Sales Report: Strategic Journalist Network Growth &amp; Market Performance in Russia, Moscow</w:t>
      </w:r>
    </w:p>
    <w:bookmarkStart w:id="20" w:name="executive-summary"/>
    <w:p>
      <w:pPr>
        <w:pStyle w:val="Heading2"/>
      </w:pPr>
      <w:r>
        <w:t xml:space="preserve">Executive Summary</w:t>
      </w:r>
    </w:p>
    <w:p>
      <w:pPr>
        <w:pStyle w:val="FirstParagraph"/>
      </w:pPr>
      <w:r>
        <w:t xml:space="preserve">This comprehensive Sales Report details the performance of our journalist network expansion initiatives across Russia, with a strategic focus on Moscow as the operational epicenter. As of Q3 2024, our journalist partnerships have driven a 37% year-over-year increase in B2B sales revenue within the Russian media landscape. This growth is directly attributable to our targeted approach in Moscow—a city where over 65% of Russia's major newsrooms, PR agencies, and corporate communication departments are headquartered. The success underscores the critical role of localized journalist engagement in unlocking high-value opportunities for our media solutions portfolio.</w:t>
      </w:r>
    </w:p>
    <w:bookmarkEnd w:id="20"/>
    <w:bookmarkStart w:id="21" w:name="Xb9184d8c47fb28673dae275398f1f48c11cb139"/>
    <w:p>
      <w:pPr>
        <w:pStyle w:val="Heading2"/>
      </w:pPr>
      <w:r>
        <w:t xml:space="preserve">Market Context: Journalist Dynamics in Moscow</w:t>
      </w:r>
    </w:p>
    <w:p>
      <w:pPr>
        <w:pStyle w:val="FirstParagraph"/>
      </w:pPr>
      <w:r>
        <w:t xml:space="preserve">Moscow remains the undisputed heart of Russia’s media ecosystem, housing 48 of the nation’s top 50 news organizations and hosting over 3,000 accredited journalists. However, navigating this market demands nuanced understanding. Recent regulatory shifts have intensified competition for editorial access, making our journalist network a strategic differentiator. Our Sales Report confirms that clients prioritize partnerships with journalists who possess deep Moscow-specific knowledge—understanding local business culture, political sensitivities, and cultural touchpoints from Gorky Park to Red Square.</w:t>
      </w:r>
    </w:p>
    <w:bookmarkEnd w:id="21"/>
    <w:bookmarkStart w:id="22" w:name="q3-sales-performance-highlights"/>
    <w:p>
      <w:pPr>
        <w:pStyle w:val="Heading2"/>
      </w:pPr>
      <w:r>
        <w:t xml:space="preserve">Q3 Sales Performance Highlights</w:t>
      </w:r>
    </w:p>
    <w:p>
      <w:pPr>
        <w:numPr>
          <w:ilvl w:val="0"/>
          <w:numId w:val="1001"/>
        </w:numPr>
        <w:pStyle w:val="Compact"/>
      </w:pPr>
      <w:r>
        <w:rPr>
          <w:bCs/>
          <w:b/>
        </w:rPr>
        <w:t xml:space="preserve">Revenue Growth:</w:t>
      </w:r>
      <w:r>
        <w:t xml:space="preserve"> </w:t>
      </w:r>
      <w:r>
        <w:t xml:space="preserve">$1.87M (37% YoY increase), with Moscow representing 68% of total sales volume.</w:t>
      </w:r>
    </w:p>
    <w:p>
      <w:pPr>
        <w:numPr>
          <w:ilvl w:val="0"/>
          <w:numId w:val="1001"/>
        </w:numPr>
        <w:pStyle w:val="Compact"/>
      </w:pPr>
      <w:r>
        <w:rPr>
          <w:bCs/>
          <w:b/>
        </w:rPr>
        <w:t xml:space="preserve">Client Acquisition:</w:t>
      </w:r>
      <w:r>
        <w:t xml:space="preserve"> </w:t>
      </w:r>
      <w:r>
        <w:t xml:space="preserve">24 new enterprise clients, including three Fortune 500 Russian corporates headquartered in Moscow.</w:t>
      </w:r>
    </w:p>
    <w:p>
      <w:pPr>
        <w:numPr>
          <w:ilvl w:val="0"/>
          <w:numId w:val="1001"/>
        </w:numPr>
        <w:pStyle w:val="Compact"/>
      </w:pPr>
      <w:r>
        <w:rPr>
          <w:bCs/>
          <w:b/>
        </w:rPr>
        <w:t xml:space="preserve">Journalist Utilization:</w:t>
      </w:r>
      <w:r>
        <w:t xml:space="preserve"> </w:t>
      </w:r>
      <w:r>
        <w:t xml:space="preserve">Average of 1.7 journalist engagements per client deal, exceeding the Q2 benchmark by 31%.</w:t>
      </w:r>
    </w:p>
    <w:p>
      <w:pPr>
        <w:numPr>
          <w:ilvl w:val="0"/>
          <w:numId w:val="1001"/>
        </w:numPr>
        <w:pStyle w:val="Compact"/>
      </w:pPr>
      <w:r>
        <w:rPr>
          <w:bCs/>
          <w:b/>
        </w:rPr>
        <w:t xml:space="preserve">Lead Conversion:</w:t>
      </w:r>
      <w:r>
        <w:t xml:space="preserve"> </w:t>
      </w:r>
      <w:r>
        <w:t xml:space="preserve">44% conversion rate from Moscow-based journalist demos (vs. industry average of 28%).</w:t>
      </w:r>
    </w:p>
    <w:bookmarkEnd w:id="22"/>
    <w:bookmarkStart w:id="23" w:name="X31dbbdb7962ed3cdf8694784281bd5d65c24c02"/>
    <w:p>
      <w:pPr>
        <w:pStyle w:val="Heading2"/>
      </w:pPr>
      <w:r>
        <w:t xml:space="preserve">Journalist-Centric Sales Strategy in Action</w:t>
      </w:r>
    </w:p>
    <w:p>
      <w:pPr>
        <w:pStyle w:val="FirstParagraph"/>
      </w:pPr>
      <w:r>
        <w:t xml:space="preserve">This report emphasizes that our sales success stems not from generic pitches, but from leveraging the unique value of our Moscow-based journalist network. Unlike competitors who rely on centralized contact lists, we deploy journalists as strategic assets who:</w:t>
      </w:r>
    </w:p>
    <w:p>
      <w:pPr>
        <w:numPr>
          <w:ilvl w:val="0"/>
          <w:numId w:val="1002"/>
        </w:numPr>
        <w:pStyle w:val="Compact"/>
      </w:pPr>
      <w:r>
        <w:t xml:space="preserve">Provide real-time market intelligence during client discovery (e.g., identifying Moscow-specific pain points in retail or finance sectors).</w:t>
      </w:r>
    </w:p>
    <w:p>
      <w:pPr>
        <w:numPr>
          <w:ilvl w:val="0"/>
          <w:numId w:val="1002"/>
        </w:numPr>
        <w:pStyle w:val="Compact"/>
      </w:pPr>
      <w:r>
        <w:t xml:space="preserve">Facilitate high-trust introductions to editorial decision-makers at Kommersant, RBC, and Moskovsky Komsomolets.</w:t>
      </w:r>
    </w:p>
    <w:p>
      <w:pPr>
        <w:numPr>
          <w:ilvl w:val="0"/>
          <w:numId w:val="1002"/>
        </w:numPr>
        <w:pStyle w:val="Compact"/>
      </w:pPr>
      <w:r>
        <w:t xml:space="preserve">Co-create tailored content packages (e.g., "Moscow Tech Week" coverage bundles for tech clients).</w:t>
      </w:r>
    </w:p>
    <w:p>
      <w:pPr>
        <w:pStyle w:val="FirstParagraph"/>
      </w:pPr>
      <w:r>
        <w:t xml:space="preserve">Example: A Moscow-based automotive client secured $420K in media placements through a journalist-led campaign targeting auto industry editors. The journalist’s familiarity with Moscow’s traffic patterns, consumer preferences, and event calendars (like the Moscow International Automobile Salon) enabled hyper-relevant storytelling that resonated with editors—directly contributing to a 63% higher engagement rate than standard campaigns.</w:t>
      </w:r>
    </w:p>
    <w:bookmarkEnd w:id="23"/>
    <w:bookmarkStart w:id="24" w:name="challenges-adaptations-in-russia-moscow"/>
    <w:p>
      <w:pPr>
        <w:pStyle w:val="Heading2"/>
      </w:pPr>
      <w:r>
        <w:t xml:space="preserve">Challenges &amp; Adaptations in Russia Moscow</w:t>
      </w:r>
    </w:p>
    <w:p>
      <w:pPr>
        <w:pStyle w:val="FirstParagraph"/>
      </w:pPr>
      <w:r>
        <w:t xml:space="preserve">The Sales Report acknowledges significant hurdles unique to operating within Russia’s media environment. Moscow’s regulatory landscape requires meticulous compliance, including mandatory licensing for foreign-owned journalism platforms. In Q3, we proactively:</w:t>
      </w:r>
    </w:p>
    <w:p>
      <w:pPr>
        <w:numPr>
          <w:ilvl w:val="0"/>
          <w:numId w:val="1003"/>
        </w:numPr>
        <w:pStyle w:val="Compact"/>
      </w:pPr>
      <w:r>
        <w:t xml:space="preserve">Partnered with local legal firm KSL Legal to navigate new "foreign agent" disclosure requirements.</w:t>
      </w:r>
    </w:p>
    <w:p>
      <w:pPr>
        <w:numPr>
          <w:ilvl w:val="0"/>
          <w:numId w:val="1003"/>
        </w:numPr>
        <w:pStyle w:val="Compact"/>
      </w:pPr>
      <w:r>
        <w:t xml:space="preserve">Redesigned journalist contracts to include Moscow-specific compliance clauses (e.g., content approval pathways for state-owned media).</w:t>
      </w:r>
    </w:p>
    <w:p>
      <w:pPr>
        <w:numPr>
          <w:ilvl w:val="0"/>
          <w:numId w:val="1003"/>
        </w:numPr>
        <w:pStyle w:val="Compact"/>
      </w:pPr>
      <w:r>
        <w:t xml:space="preserve">Invested in a dedicated Moscow-based compliance officer, reducing onboarding time by 40%.</w:t>
      </w:r>
    </w:p>
    <w:p>
      <w:pPr>
        <w:pStyle w:val="FirstParagraph"/>
      </w:pPr>
      <w:r>
        <w:t xml:space="preserve">These adaptations directly supported sales—clients reported a 29% increase in trust when they perceived our adherence to Moscow’s regulatory framework as non-negotiable.</w:t>
      </w:r>
    </w:p>
    <w:bookmarkEnd w:id="24"/>
    <w:bookmarkStart w:id="25" w:name="regional-analysis-why-moscow-dominates"/>
    <w:p>
      <w:pPr>
        <w:pStyle w:val="Heading2"/>
      </w:pPr>
      <w:r>
        <w:t xml:space="preserve">Regional Analysis: Why Moscow Dominates</w:t>
      </w:r>
    </w:p>
    <w:p>
      <w:pPr>
        <w:pStyle w:val="FirstParagraph"/>
      </w:pPr>
      <w:r>
        <w:t xml:space="preserve">Region</w:t>
      </w:r>
    </w:p>
    <w:p>
      <w:pPr>
        <w:pStyle w:val="BodyText"/>
      </w:pPr>
      <w:r>
        <w:t xml:space="preserve">Avg. Deal Size (USD)</w:t>
      </w:r>
    </w:p>
    <w:p>
      <w:pPr>
        <w:pStyle w:val="BodyText"/>
      </w:pPr>
      <w:r>
        <w:t xml:space="preserve">Journalist Network Density</w:t>
      </w:r>
    </w:p>
    <w:p>
      <w:pPr>
        <w:pStyle w:val="BodyText"/>
      </w:pPr>
      <w:r>
        <w:t xml:space="preserve">Sales Growth (Q3)</w:t>
      </w:r>
    </w:p>
    <w:p>
      <w:pPr>
        <w:pStyle w:val="BodyText"/>
      </w:pPr>
      <w:r>
        <w:t xml:space="preserve">Moscow</w:t>
      </w:r>
    </w:p>
    <w:p>
      <w:pPr>
        <w:pStyle w:val="BodyText"/>
      </w:pPr>
      <w:r>
        <w:t xml:space="preserve">$158,200</w:t>
      </w:r>
    </w:p>
    <w:p>
      <w:pPr>
        <w:pStyle w:val="BodyText"/>
      </w:pPr>
      <w:r>
        <w:t xml:space="preserve">1:4.3 (journalists/client)</w:t>
      </w:r>
    </w:p>
    <w:p>
      <w:pPr>
        <w:pStyle w:val="BodyText"/>
      </w:pPr>
      <w:r>
        <w:t xml:space="preserve">42%</w:t>
      </w:r>
    </w:p>
    <w:p>
      <w:pPr>
        <w:pStyle w:val="BodyText"/>
      </w:pPr>
      <w:r>
        <w:t xml:space="preserve">Saint Petersburg</w:t>
      </w:r>
    </w:p>
    <w:p>
      <w:pPr>
        <w:pStyle w:val="BodyText"/>
      </w:pPr>
      <w:r>
        <w:t xml:space="preserve">$97,600</w:t>
      </w:r>
    </w:p>
    <w:p>
      <w:pPr>
        <w:pStyle w:val="BodyText"/>
      </w:pPr>
      <w:r>
        <w:t xml:space="preserve">Total Russia Avg.</w:t>
      </w:r>
    </w:p>
    <w:p>
      <w:pPr>
        <w:pStyle w:val="BodyText"/>
      </w:pPr>
      <w:r>
        <w:t xml:space="preserve">$89,500</w:t>
      </w:r>
    </w:p>
    <w:p>
      <w:pPr>
        <w:pStyle w:val="BodyText"/>
      </w:pPr>
      <w:r>
        <w:t xml:space="preserve">1:6.7</w:t>
      </w:r>
    </w:p>
    <w:p>
      <w:pPr>
        <w:pStyle w:val="BodyText"/>
      </w:pPr>
      <w:r>
        <w:t xml:space="preserve">28%</w:t>
      </w:r>
    </w:p>
    <w:p>
      <w:pPr>
        <w:pStyle w:val="BodyText"/>
      </w:pPr>
      <w:r>
        <w:t xml:space="preserve">The data is unequivocal: Moscow’s concentration of media power yields superior sales outcomes. Our Sales Report attributes this to the density of journalist relationships—Moscow journalists maintain deeper, more frequent connections with editors than counterparts in other cities. This network effect allows us to close deals 2.1x faster than in secondary markets.</w:t>
      </w:r>
    </w:p>
    <w:bookmarkEnd w:id="25"/>
    <w:bookmarkStart w:id="26" w:name="Xa1ff41cf012f55220c29406b2cce6c025bf7586"/>
    <w:p>
      <w:pPr>
        <w:pStyle w:val="Heading2"/>
      </w:pPr>
      <w:r>
        <w:t xml:space="preserve">Future Strategy: Journalist-Driven Expansion</w:t>
      </w:r>
    </w:p>
    <w:p>
      <w:pPr>
        <w:pStyle w:val="FirstParagraph"/>
      </w:pPr>
      <w:r>
        <w:t xml:space="preserve">Building on Q3 success, our 2024–2025 roadmap prioritizes two journalist-focused initiatives in Moscow:</w:t>
      </w:r>
    </w:p>
    <w:p>
      <w:pPr>
        <w:numPr>
          <w:ilvl w:val="0"/>
          <w:numId w:val="1004"/>
        </w:numPr>
        <w:pStyle w:val="Compact"/>
      </w:pPr>
      <w:r>
        <w:rPr>
          <w:bCs/>
          <w:b/>
        </w:rPr>
        <w:t xml:space="preserve">Moscow Media Pulse Index:</w:t>
      </w:r>
      <w:r>
        <w:t xml:space="preserve"> </w:t>
      </w:r>
      <w:r>
        <w:t xml:space="preserve">A proprietary metric tracking real-time sentiment shifts among Moscow journalists (e.g., emerging topics like "Green Tech Regulations" or "Post-Sanctions Trade"). This data directly informs sales outreach timing.</w:t>
      </w:r>
    </w:p>
    <w:p>
      <w:pPr>
        <w:numPr>
          <w:ilvl w:val="0"/>
          <w:numId w:val="1004"/>
        </w:numPr>
        <w:pStyle w:val="Compact"/>
      </w:pPr>
      <w:r>
        <w:rPr>
          <w:bCs/>
          <w:b/>
        </w:rPr>
        <w:t xml:space="preserve">Elite Journalist Co-Pilots Program:</w:t>
      </w:r>
      <w:r>
        <w:t xml:space="preserve"> </w:t>
      </w:r>
      <w:r>
        <w:t xml:space="preserve">Retaining top Moscow-based journalists as dedicated sales partners—providing them with equity stakes in client deals. Early pilots show 53% higher retention of high-value clients.</w:t>
      </w:r>
    </w:p>
    <w:bookmarkEnd w:id="26"/>
    <w:bookmarkStart w:id="27" w:name="X46093dcff51d3e01ad7f695aeaec6d401b8d783"/>
    <w:p>
      <w:pPr>
        <w:pStyle w:val="Heading2"/>
      </w:pPr>
      <w:r>
        <w:t xml:space="preserve">Conclusion: The Unmatched Value of Moscow Journalist Integration</w:t>
      </w:r>
    </w:p>
    <w:p>
      <w:pPr>
        <w:pStyle w:val="FirstParagraph"/>
      </w:pPr>
      <w:r>
        <w:t xml:space="preserve">This Sales Report conclusively demonstrates that in the Russia market, journalist relationships are not merely supplementary—they are the core engine of our commercial success. Moscow’s unique media ecology demands this hyper-localized approach; generic national strategies fail to capture the nuanced trust required for sales conversion here. Our 37% revenue growth proves that when journalists operate as strategic sales assets within Moscow’s ecosystem, clients achieve measurable results: faster deal cycles, higher contract values, and deeper market penetration.</w:t>
      </w:r>
    </w:p>
    <w:p>
      <w:pPr>
        <w:pStyle w:val="BodyText"/>
      </w:pPr>
      <w:r>
        <w:t xml:space="preserve">Looking ahead, we will double down on Moscow-centric journalist development. Every client acquisition in Russia begins with a journalist-led assessment of Moscow’s current media climate. As our Sales Report affirms: the most effective sales strategy in Russia is one where journalists aren’t just observers—they’re active co-creators of the solution. This approach is not merely advantageous; it’s indispensable for sustained growth in the Russian market, and Moscow remains our undisputed proving ground.</w:t>
      </w:r>
    </w:p>
    <w:p>
      <w:pPr>
        <w:pStyle w:val="BodyText"/>
      </w:pPr>
      <w:r>
        <w:rPr>
          <w:bCs/>
          <w:b/>
        </w:rPr>
        <w:t xml:space="preserve">Prepared by:</w:t>
      </w:r>
      <w:r>
        <w:t xml:space="preserve"> </w:t>
      </w:r>
      <w:r>
        <w:t xml:space="preserve">Global Media Sales Strategy Team</w:t>
      </w:r>
    </w:p>
    <w:p>
      <w:pPr>
        <w:pStyle w:val="BodyText"/>
      </w:pPr>
      <w:r>
        <w:rPr>
          <w:bCs/>
          <w:b/>
        </w:rPr>
        <w:t xml:space="preserve">Date:</w:t>
      </w:r>
      <w:r>
        <w:t xml:space="preserve"> </w:t>
      </w:r>
      <w:r>
        <w:t xml:space="preserve">October 26, 2024</w:t>
      </w:r>
    </w:p>
    <w:p>
      <w:pPr>
        <w:pStyle w:val="BodyText"/>
      </w:pPr>
      <w:r>
        <w:rPr>
          <w:iCs/>
          <w:i/>
        </w:rPr>
        <w:t xml:space="preserve">Note: This report complies with all Russian media regulations. All journalist partnerships adhere to Moscow Press Club standards and local licensing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Journalist Network Expansion in Moscow</dc:title>
  <dc:creator/>
  <dc:language>en</dc:language>
  <cp:keywords/>
  <dcterms:created xsi:type="dcterms:W3CDTF">2026-07-23T10:46:01Z</dcterms:created>
  <dcterms:modified xsi:type="dcterms:W3CDTF">2026-07-23T10:46:01Z</dcterms:modified>
</cp:coreProperties>
</file>

<file path=docProps/custom.xml><?xml version="1.0" encoding="utf-8"?>
<Properties xmlns="http://schemas.openxmlformats.org/officeDocument/2006/custom-properties" xmlns:vt="http://schemas.openxmlformats.org/officeDocument/2006/docPropsVTypes"/>
</file>