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31" w:name="Xc4f667c8b752c830933abaa2ff2cb18f9c3cb16"/>
    <w:p>
      <w:pPr>
        <w:pStyle w:val="Heading1"/>
      </w:pPr>
      <w:r>
        <w:t xml:space="preserve">Sales Report: Judge Brand Performance in Australia Sydney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the Judge brand across the Australia Sydney market during Q3 2023. The Judge brand—renowned for its premium legal and corporate office furniture solutions—achieved remarkable success, demonstrating a 18.7% year-over-year sales growth in Sydney. This report confirms Judge's strategic positioning as a market leader in high-end professional furnishings within Australia's most dynamic commercial hub. Despite broader economic headwinds, the Judge brand secured significant new contracts with major legal firms and corporate headquarters in Sydney CBD, reinforcing its dominance in the $125 million Sydney office furniture segment.</w:t>
      </w:r>
    </w:p>
    <w:bookmarkEnd w:id="20"/>
    <w:bookmarkStart w:id="21" w:name="Xbee2f6a859e46ed1bc78292accb2a4b2e11152a"/>
    <w:p>
      <w:pPr>
        <w:pStyle w:val="Heading2"/>
      </w:pPr>
      <w:r>
        <w:t xml:space="preserve">II. Market Context: Australia Sydney Commercial Landscape</w:t>
      </w:r>
    </w:p>
    <w:p>
      <w:pPr>
        <w:pStyle w:val="FirstParagraph"/>
      </w:pPr>
      <w:r>
        <w:t xml:space="preserve">The Australia Sydney market remains pivotal for Judge's global strategy. As the financial and legal capital of Australia, Sydney accounts for 34% of national corporate furniture spend. Q3 witnessed unprecedented demand due to:</w:t>
      </w:r>
    </w:p>
    <w:p>
      <w:pPr>
        <w:numPr>
          <w:ilvl w:val="0"/>
          <w:numId w:val="1001"/>
        </w:numPr>
        <w:pStyle w:val="Compact"/>
      </w:pPr>
      <w:r>
        <w:t xml:space="preserve">Record-breaking office relocations in the Sydney CBD (27 new headquarters openings)</w:t>
      </w:r>
    </w:p>
    <w:p>
      <w:pPr>
        <w:numPr>
          <w:ilvl w:val="0"/>
          <w:numId w:val="1001"/>
        </w:numPr>
        <w:pStyle w:val="Compact"/>
      </w:pPr>
      <w:r>
        <w:t xml:space="preserve">Rising premiumization trend among Australian legal firms ($1.2 billion allocated to high-end office upgrades)</w:t>
      </w:r>
    </w:p>
    <w:p>
      <w:pPr>
        <w:numPr>
          <w:ilvl w:val="0"/>
          <w:numId w:val="1001"/>
        </w:numPr>
        <w:pStyle w:val="Compact"/>
      </w:pPr>
      <w:r>
        <w:t xml:space="preserve">Government incentives for sustainable corporate spaces (Sydney's Green Building Council initiatives)</w:t>
      </w:r>
    </w:p>
    <w:p>
      <w:pPr>
        <w:pStyle w:val="FirstParagraph"/>
      </w:pPr>
      <w:r>
        <w:t xml:space="preserve">Judge strategically aligned its Q3 campaign with Sydney's "Renewal Project" initiative, positioning itself as the sustainability-driven partner for legal firms transitioning to net-zero offices.</w:t>
      </w:r>
    </w:p>
    <w:bookmarkEnd w:id="21"/>
    <w:bookmarkStart w:id="22" w:name="X6eea3e4190d6804f33cf2c8a8fec5f4b81f84c2"/>
    <w:p>
      <w:pPr>
        <w:pStyle w:val="Heading2"/>
      </w:pPr>
      <w:r>
        <w:t xml:space="preserve">III. Sales Performance Highlights: Australia Sydney</w:t>
      </w:r>
    </w:p>
    <w:p>
      <w:pPr>
        <w:pStyle w:val="FirstParagraph"/>
      </w:pPr>
      <w:r>
        <w:rPr>
          <w:bCs/>
          <w:b/>
        </w:rPr>
        <w:t xml:space="preserve">Key Metrics (Q3 2023 vs Q3 2022):</w:t>
      </w:r>
    </w:p>
    <w:p>
      <w:pPr>
        <w:pStyle w:val="BodyText"/>
      </w:pPr>
      <w:r>
        <w:t xml:space="preserve">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(AUD)</w:t>
      </w:r>
    </w:p>
    <w:p>
      <w:pPr>
        <w:pStyle w:val="BodyText"/>
      </w:pPr>
      <w:r>
        <w:t xml:space="preserve">$4.87M</w:t>
      </w:r>
    </w:p>
    <w:p>
      <w:pPr>
        <w:pStyle w:val="BodyText"/>
      </w:pPr>
      <w:r>
        <w:t xml:space="preserve">$4.10M</w:t>
      </w:r>
    </w:p>
    <w:p>
      <w:pPr>
        <w:pStyle w:val="BodyText"/>
      </w:pPr>
      <w:r>
        <w:t xml:space="preserve">+18.7%</w:t>
      </w:r>
    </w:p>
    <w:p>
      <w:pPr>
        <w:pStyle w:val="BodyText"/>
      </w:pPr>
      <w:r>
        <w:t xml:space="preserve">New Client Acquisition</w:t>
      </w:r>
    </w:p>
    <w:p>
      <w:pPr>
        <w:pStyle w:val="BodyText"/>
      </w:pPr>
      <w:r>
        <w:t xml:space="preserve">23 major contracts</w:t>
      </w:r>
    </w:p>
    <w:p>
      <w:pPr>
        <w:pStyle w:val="BodyText"/>
      </w:pPr>
      <w:r>
        <w:t xml:space="preserve">Market Share (Sydney CBD)</w:t>
      </w:r>
    </w:p>
    <w:p>
      <w:pPr>
        <w:pStyle w:val="BodyText"/>
      </w:pPr>
      <w:r>
        <w:t xml:space="preserve">39.2%</w:t>
      </w:r>
    </w:p>
    <w:p>
      <w:pPr>
        <w:pStyle w:val="BodyText"/>
      </w:pPr>
      <w:r>
        <w:t xml:space="preserve">34.1%</w:t>
      </w:r>
    </w:p>
    <w:p>
      <w:pPr>
        <w:pStyle w:val="BodyText"/>
      </w:pPr>
      <w:r>
        <w:t xml:space="preserve">&lt;</w:t>
      </w:r>
    </w:p>
    <w:p>
      <w:pPr>
        <w:pStyle w:val="BodyText"/>
      </w:pPr>
      <w:r>
        <w:t xml:space="preserve">+5.1pp</w:t>
      </w:r>
    </w:p>
    <w:p>
      <w:pPr>
        <w:pStyle w:val="BodyText"/>
      </w:pPr>
      <w:r>
        <w:t xml:space="preserve">Average Deal Size</w:t>
      </w:r>
    </w:p>
    <w:p>
      <w:pPr>
        <w:pStyle w:val="BodyText"/>
      </w:pPr>
      <w:r>
        <w:t xml:space="preserve">$216,500</w:t>
      </w:r>
    </w:p>
    <w:p>
      <w:pPr>
        <w:pStyle w:val="BodyText"/>
      </w:pPr>
      <w:r>
        <w:t xml:space="preserve">+9.8% YoY</w:t>
      </w:r>
    </w:p>
    <w:p>
      <w:pPr>
        <w:pStyle w:val="BodyText"/>
      </w:pPr>
      <w:r>
        <w:t xml:space="preserve">Notable wins in Australia Sydney include:</w:t>
      </w:r>
    </w:p>
    <w:p>
      <w:pPr>
        <w:numPr>
          <w:ilvl w:val="0"/>
          <w:numId w:val="1002"/>
        </w:numPr>
        <w:pStyle w:val="Compact"/>
      </w:pPr>
      <w:r>
        <w:t xml:space="preserve">Contract with King &amp; Wood Mallesons (Sydney HQ renewal: $1.08M)</w:t>
      </w:r>
    </w:p>
    <w:p>
      <w:pPr>
        <w:numPr>
          <w:ilvl w:val="0"/>
          <w:numId w:val="1002"/>
        </w:numPr>
        <w:pStyle w:val="Compact"/>
      </w:pPr>
      <w:r>
        <w:t xml:space="preserve">Landing of Allens Law Firm's new $1.75M corporate headquarters</w:t>
      </w:r>
    </w:p>
    <w:p>
      <w:pPr>
        <w:numPr>
          <w:ilvl w:val="0"/>
          <w:numId w:val="1002"/>
        </w:numPr>
        <w:pStyle w:val="Compact"/>
      </w:pPr>
      <w:r>
        <w:t xml:space="preserve">Exclusive partnership with Sydney's Central Park development for 12 premium office suites</w:t>
      </w:r>
    </w:p>
    <w:bookmarkEnd w:id="22"/>
    <w:bookmarkStart w:id="26" w:name="X3b9ccfd5a199ead64691b60b33b9382d5049519"/>
    <w:p>
      <w:pPr>
        <w:pStyle w:val="Heading2"/>
      </w:pPr>
      <w:r>
        <w:t xml:space="preserve">IV. Strategic Initiatives Driving Success in Sydney</w:t>
      </w:r>
    </w:p>
    <w:p>
      <w:pPr>
        <w:pStyle w:val="FirstParagraph"/>
      </w:pPr>
      <w:r>
        <w:t xml:space="preserve">Three key initiatives propelled Judge's performance in the Australia Sydney market:</w:t>
      </w:r>
    </w:p>
    <w:bookmarkStart w:id="23" w:name="a.-sydney-sustainable-suite-initiative"/>
    <w:p>
      <w:pPr>
        <w:pStyle w:val="Heading3"/>
      </w:pPr>
      <w:r>
        <w:t xml:space="preserve">A. "Sydney Sustainable Suite" Initiative</w:t>
      </w:r>
    </w:p>
    <w:p>
      <w:pPr>
        <w:pStyle w:val="FirstParagraph"/>
      </w:pPr>
      <w:r>
        <w:t xml:space="preserve">Launched exclusively for the Australia Sydney market, this certified sustainable product line reduced client carbon footprints by 42% while exceeding AS/NZS 4801 standards. The initiative directly contributed to 68% of new contracts in Q3. Key example: The $950k contract with Herbert Smith Freehills incorporated Judge's recycled-acrylic conference tables and FSC-certified timber desks.</w:t>
      </w:r>
    </w:p>
    <w:bookmarkEnd w:id="23"/>
    <w:bookmarkStart w:id="24" w:name="b.-legal-sector-specialization"/>
    <w:p>
      <w:pPr>
        <w:pStyle w:val="Heading3"/>
      </w:pPr>
      <w:r>
        <w:t xml:space="preserve">B. Legal Sector Specialization</w:t>
      </w:r>
    </w:p>
    <w:p>
      <w:pPr>
        <w:pStyle w:val="FirstParagraph"/>
      </w:pPr>
      <w:r>
        <w:t xml:space="preserve">Judge established dedicated Sydney legal sector consultants who understood the unique requirements of Australian law firms. This specialization resulted in 76% of new clients being from legal practice groups—a 22% increase over previous quarter. The team conducted 47 tailored workshops across Sydney CBD offices, positioning Judge as an industry partner rather than a vendor.</w:t>
      </w:r>
    </w:p>
    <w:bookmarkEnd w:id="24"/>
    <w:bookmarkStart w:id="25" w:name="Xcab5e0b9c06f2c6680807e438c450ff63edb16f"/>
    <w:p>
      <w:pPr>
        <w:pStyle w:val="Heading3"/>
      </w:pPr>
      <w:r>
        <w:t xml:space="preserve">C. Digital Integration with Sydney Real Estate Platforms</w:t>
      </w:r>
    </w:p>
    <w:p>
      <w:pPr>
        <w:pStyle w:val="FirstParagraph"/>
      </w:pPr>
      <w:r>
        <w:t xml:space="preserve">Collaboration with REA Group (Australia's largest real estate platform) embedded Judge's virtual showroom into 12,000+ commercial property listings in Sydney. This generated 587 qualified leads within Q3—representing a 31% conversion rate to sales meetings. The digital strategy accounted for $1.2M in pipeline revenue.</w:t>
      </w:r>
    </w:p>
    <w:bookmarkEnd w:id="25"/>
    <w:bookmarkEnd w:id="26"/>
    <w:bookmarkStart w:id="27" w:name="X00448cac614e2db1d7f575112c5f8fff97eee3c"/>
    <w:p>
      <w:pPr>
        <w:pStyle w:val="Heading2"/>
      </w:pPr>
      <w:r>
        <w:t xml:space="preserve">V. Customer Feedback &amp; Market Perception (Sydney Focus)</w:t>
      </w:r>
    </w:p>
    <w:p>
      <w:pPr>
        <w:pStyle w:val="FirstParagraph"/>
      </w:pPr>
      <w:r>
        <w:t xml:space="preserve">Post-sale surveys from 89 Sydney clients revealed exceptional satisfaction:</w:t>
      </w:r>
    </w:p>
    <w:p>
      <w:pPr>
        <w:numPr>
          <w:ilvl w:val="0"/>
          <w:numId w:val="1003"/>
        </w:numPr>
        <w:pStyle w:val="Compact"/>
      </w:pPr>
      <w:r>
        <w:t xml:space="preserve">94% rated Judge's "cultural understanding of Australian legal workplaces" as "excellent"</w:t>
      </w:r>
    </w:p>
    <w:p>
      <w:pPr>
        <w:numPr>
          <w:ilvl w:val="0"/>
          <w:numId w:val="1003"/>
        </w:numPr>
        <w:pStyle w:val="Compact"/>
      </w:pPr>
      <w:r>
        <w:t xml:space="preserve">"Seamless integration with Sydney office relocation timelines" cited by 87% of clients</w:t>
      </w:r>
    </w:p>
    <w:p>
      <w:pPr>
        <w:numPr>
          <w:ilvl w:val="0"/>
          <w:numId w:val="1003"/>
        </w:numPr>
        <w:pStyle w:val="Compact"/>
      </w:pPr>
      <w:r>
        <w:t xml:space="preserve">3.2x higher Net Promoter Score (NPS) than industry average in Australia Sydney market</w:t>
      </w:r>
    </w:p>
    <w:p>
      <w:pPr>
        <w:pStyle w:val="FirstParagraph"/>
      </w:pPr>
      <w:r>
        <w:t xml:space="preserve">Notable testimonial from a Partner at Clayton Utz (Sydney): "Judge doesn't just sell furniture—they understand the rhythm of Australian legal practice. Their Q3 implementation during our CBD move was flawless, exactly what a premium Sydney firm needs."</w:t>
      </w:r>
    </w:p>
    <w:bookmarkEnd w:id="27"/>
    <w:bookmarkStart w:id="28" w:name="vi.-challenges-mitigation-strategies"/>
    <w:p>
      <w:pPr>
        <w:pStyle w:val="Heading2"/>
      </w:pPr>
      <w:r>
        <w:t xml:space="preserve">VI. Challenges &amp; Mitigation Strategies</w:t>
      </w:r>
    </w:p>
    <w:p>
      <w:pPr>
        <w:pStyle w:val="FirstParagraph"/>
      </w:pPr>
      <w:r>
        <w:t xml:space="preserve">Despite strong performance, two challenges emerged in Australia Sydney:</w:t>
      </w:r>
    </w:p>
    <w:p>
      <w:pPr>
        <w:numPr>
          <w:ilvl w:val="0"/>
          <w:numId w:val="1004"/>
        </w:numPr>
        <w:pStyle w:val="Compact"/>
      </w:pPr>
      <w:r>
        <w:rPr>
          <w:bCs/>
          <w:b/>
        </w:rPr>
        <w:t xml:space="preserve">Supply Chain Delays:</w:t>
      </w:r>
      <w:r>
        <w:t xml:space="preserve"> </w:t>
      </w:r>
      <w:r>
        <w:t xml:space="preserve">Global shipping costs impacted 15% of Q3 orders. Mitigation: Partnered with Sydney-based logistics firm TransLink to establish local assembly hub, reducing lead times from 12 to 4 weeks.</w:t>
      </w:r>
    </w:p>
    <w:p>
      <w:pPr>
        <w:numPr>
          <w:ilvl w:val="0"/>
          <w:numId w:val="1004"/>
        </w:numPr>
        <w:pStyle w:val="Compact"/>
      </w:pPr>
      <w:r>
        <w:rPr>
          <w:bCs/>
          <w:b/>
        </w:rPr>
        <w:t xml:space="preserve">Competitive Pressure:</w:t>
      </w:r>
      <w:r>
        <w:t xml:space="preserve"> </w:t>
      </w:r>
      <w:r>
        <w:t xml:space="preserve">Local competitor "Crestwood" undercut prices on entry-level products. Response: Judge's Sydney team pivoted to premium positioning—highlighting quality and sustainability over price in all sales conversations.</w:t>
      </w:r>
    </w:p>
    <w:bookmarkEnd w:id="28"/>
    <w:bookmarkStart w:id="29" w:name="X3e8ce50d7e0fe74a1521440b83aad474675b4bf"/>
    <w:p>
      <w:pPr>
        <w:pStyle w:val="Heading2"/>
      </w:pPr>
      <w:r>
        <w:t xml:space="preserve">VII. Future Outlook: Australia Sydney Strategy</w:t>
      </w:r>
    </w:p>
    <w:p>
      <w:pPr>
        <w:pStyle w:val="FirstParagraph"/>
      </w:pPr>
      <w:r>
        <w:t xml:space="preserve">Building on Q3 success, Judge will:</w:t>
      </w:r>
    </w:p>
    <w:p>
      <w:pPr>
        <w:numPr>
          <w:ilvl w:val="0"/>
          <w:numId w:val="1005"/>
        </w:numPr>
        <w:pStyle w:val="Compact"/>
      </w:pPr>
      <w:r>
        <w:t xml:space="preserve">Expand "Sydney Sustainable Suite" to include carbon-neutral delivery options by Q1 2024</w:t>
      </w:r>
    </w:p>
    <w:p>
      <w:pPr>
        <w:numPr>
          <w:ilvl w:val="0"/>
          <w:numId w:val="1005"/>
        </w:numPr>
        <w:pStyle w:val="Compact"/>
      </w:pPr>
      <w:r>
        <w:t xml:space="preserve">Create dedicated Sydney Legal Advisory Council with 5 leading firms to co-develop solutions</w:t>
      </w:r>
    </w:p>
    <w:p>
      <w:pPr>
        <w:numPr>
          <w:ilvl w:val="0"/>
          <w:numId w:val="1005"/>
        </w:numPr>
        <w:pStyle w:val="Compact"/>
      </w:pPr>
      <w:r>
        <w:t xml:space="preserve">Launch Judge's first Australia Sydney experience center in the new International Square development (Q2 2024)</w:t>
      </w:r>
    </w:p>
    <w:bookmarkEnd w:id="29"/>
    <w:bookmarkStart w:id="30" w:name="viii.-conclusion"/>
    <w:p>
      <w:pPr>
        <w:pStyle w:val="Heading2"/>
      </w:pPr>
      <w:r>
        <w:t xml:space="preserve">VIII. Conclusion</w:t>
      </w:r>
    </w:p>
    <w:p>
      <w:pPr>
        <w:pStyle w:val="FirstParagraph"/>
      </w:pPr>
      <w:r>
        <w:t xml:space="preserve">The Australia Sydney market has cemented its position as Judge's most valuable regional territory, contributing 37% of global Q3 revenue while establishing new benchmarks in premium corporate furniture sales. This Sales Report confirms that Judge's localized approach—understanding Sydney's unique legal culture, sustainability mandates, and commercial rhythms—creates a sustainable competitive advantage. As the leading brand for high-end office solutions in Australia Sydney, Judge is poised to capture 45%+ market share by end-2024. We recommend doubling down on Sydney-specific innovation while replicating this model across other Australian metro markets.</w:t>
      </w:r>
    </w:p>
    <w:p>
      <w:pPr>
        <w:pStyle w:val="BodyText"/>
      </w:pPr>
      <w:r>
        <w:rPr>
          <w:bCs/>
          <w:b/>
        </w:rPr>
        <w:t xml:space="preserve">Prepared By:</w:t>
      </w:r>
      <w:r>
        <w:t xml:space="preserve"> </w:t>
      </w:r>
      <w:r>
        <w:t xml:space="preserve">Sydney Market Strategy Division</w:t>
      </w:r>
      <w:r>
        <w:br/>
      </w:r>
      <w:r>
        <w:rPr>
          <w:bCs/>
          <w:b/>
        </w:rPr>
        <w:t xml:space="preserve">Approved By:</w:t>
      </w:r>
      <w:r>
        <w:t xml:space="preserve"> </w:t>
      </w:r>
      <w:r>
        <w:t xml:space="preserve">Global Sales Executive, Asia Pacific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Australia Sydney Market</dc:title>
  <dc:creator/>
  <dc:language>en</dc:language>
  <cp:keywords/>
  <dcterms:created xsi:type="dcterms:W3CDTF">2026-07-23T16:26:24Z</dcterms:created>
  <dcterms:modified xsi:type="dcterms:W3CDTF">2026-07-23T16:26:24Z</dcterms:modified>
</cp:coreProperties>
</file>

<file path=docProps/custom.xml><?xml version="1.0" encoding="utf-8"?>
<Properties xmlns="http://schemas.openxmlformats.org/officeDocument/2006/custom-properties" xmlns:vt="http://schemas.openxmlformats.org/officeDocument/2006/docPropsVTypes"/>
</file>