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Judge</w:t>
      </w:r>
      <w:r>
        <w:t xml:space="preserve"> </w:t>
      </w:r>
      <w:r>
        <w:t xml:space="preserve">Product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  <w:r>
        <w:t xml:space="preserve"> </w:t>
      </w:r>
      <w:r>
        <w:t xml:space="preserve">Market</w:t>
      </w:r>
    </w:p>
    <w:bookmarkStart w:id="23" w:name="X7427692d3da90e5725c27d2b1e6a0bb2e4aee48"/>
    <w:p>
      <w:pPr>
        <w:pStyle w:val="Heading1"/>
      </w:pPr>
      <w:r>
        <w:t xml:space="preserve">Sales Report: Strategic Performance Analysis of Judge Solutions in the France Lyon Market (Q1-Q3 2024)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market performance, strategic initiatives, and growth trajectory of Judge Solutions within the dynamic business landscape of France Lyon. As a leading enterprise software provider specializing in AI-driven workflow optimization tools, Judge has established significant traction since its formal entry into the Lyon market in early 2023. This report confirms Judge’s position as a top-tier solution provider for SMEs and mid-market enterprises across the Rhône-Alpes region, with particular strength demonstrated in Lyon’s thriving innovation ecosystem. The France Lyon market contributed 18% to Judge's overall revenue in Q3 2024, marking a 37% YoY growth and validating our localized go-to-market strategy.</w:t>
      </w:r>
    </w:p>
    <w:bookmarkEnd w:id="20"/>
    <w:bookmarkStart w:id="21" w:name="Xd06f1b8401b55d532f9659bc2be4f21bcf7e1b1"/>
    <w:p>
      <w:pPr>
        <w:pStyle w:val="Heading2"/>
      </w:pPr>
      <w:r>
        <w:t xml:space="preserve">Market Context: Why Lyon Matters for Judge</w:t>
      </w:r>
    </w:p>
    <w:p>
      <w:pPr>
        <w:pStyle w:val="FirstParagraph"/>
      </w:pPr>
      <w:r>
        <w:t xml:space="preserve">Lyon represents more than just a regional office; it is the strategic nerve center for Judge’s expansion across France and into the broader European market. As France’s second-largest economic hub after Paris, Lyon boasts a concentrated ecosystem of 14,000+ tech businesses, 5 major innovation districts (including Confluence and Euralille), and a highly educated workforce with strong digital literacy. The city's status as a UNESCO City of Design and its focus on Industry 4.0 make it an ideal proving ground for Judge’s enterprise solutions. In Q2 2024 alone, Lyon accounted for 31% of all new Judge client acquisitions in France, underscoring the market’s exceptional conversion potential when aligned with our localized value proposition.</w:t>
      </w:r>
    </w:p>
    <w:bookmarkEnd w:id="21"/>
    <w:bookmarkStart w:id="22" w:name="X6552b13f6634137d9a409db5dd8ebc8161b2847"/>
    <w:p>
      <w:pPr>
        <w:pStyle w:val="Heading2"/>
      </w:pPr>
      <w:r>
        <w:t xml:space="preserve">Key Sales Performance Metrics (France Lyon Segment)</w:t>
      </w:r>
    </w:p>
    <w:p>
      <w:pPr>
        <w:pStyle w:val="FirstParagraph"/>
      </w:pPr>
      <w:r>
        <w:t xml:space="preserve">Indicator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Growth % (YoY)</w:t>
      </w:r>
    </w:p>
    <w:p>
      <w:pPr>
        <w:pStyle w:val="BodyText"/>
      </w:pPr>
      <w:r>
        <w:t xml:space="preserve">New Client Acquisition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89</w:t>
      </w:r>
    </w:p>
    <w:p>
      <w:pPr>
        <w:pStyle w:val="BodyText"/>
      </w:pPr>
      <w:r>
        <w:t xml:space="preserve">+157%</w:t>
      </w:r>
    </w:p>
    <w:p>
      <w:pPr>
        <w:pStyle w:val="BodyText"/>
      </w:pPr>
      <w:r>
        <w:t xml:space="preserve">Average Deal Size (€)</w:t>
      </w:r>
    </w:p>
    <w:p>
      <w:pPr>
        <w:pStyle w:val="BodyText"/>
      </w:pPr>
      <w:r>
        <w:t xml:space="preserve">28,500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Judge Product Performance in France Lyon Market</dc:title>
  <dc:creator/>
  <cp:keywords/>
  <dcterms:created xsi:type="dcterms:W3CDTF">2025-12-10T23:46:40Z</dcterms:created>
  <dcterms:modified xsi:type="dcterms:W3CDTF">2025-12-10T23:46:40Z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