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Sales</w:t>
      </w:r>
      <w:r>
        <w:t xml:space="preserve"> </w:t>
      </w:r>
      <w:r>
        <w:t xml:space="preserve">Performance</w:t>
      </w:r>
      <w:r>
        <w:t xml:space="preserve"> </w:t>
      </w:r>
      <w:r>
        <w:t xml:space="preserve">Report:</w:t>
      </w:r>
      <w:r>
        <w:t xml:space="preserve"> </w:t>
      </w:r>
      <w:r>
        <w:t xml:space="preserve">Judge</w:t>
      </w:r>
      <w:r>
        <w:t xml:space="preserve"> </w:t>
      </w:r>
      <w:r>
        <w:t xml:space="preserve">Leadership</w:t>
      </w:r>
      <w:r>
        <w:t xml:space="preserve"> </w:t>
      </w:r>
      <w:r>
        <w:t xml:space="preserve">in</w:t>
      </w:r>
      <w:r>
        <w:t xml:space="preserve"> </w:t>
      </w:r>
      <w:r>
        <w:t xml:space="preserve">Germany</w:t>
      </w:r>
      <w:r>
        <w:t xml:space="preserve"> </w:t>
      </w:r>
      <w:r>
        <w:t xml:space="preserve">Frankfurt</w:t>
      </w:r>
      <w:r>
        <w:t xml:space="preserve"> </w:t>
      </w:r>
      <w:r>
        <w:t xml:space="preserve">Market</w:t>
      </w:r>
    </w:p>
    <w:bookmarkStart w:id="27" w:name="X61149d0fe6f391b0213b3bb51b47ed9778ee70c"/>
    <w:p>
      <w:pPr>
        <w:pStyle w:val="Heading1"/>
      </w:pPr>
      <w:r>
        <w:t xml:space="preserve">GLOBAL SALES PERFORMANCE REPORT: JUDGE LEADERSHIP AND STRATEGIC GROWTH IN GERMANY FRANKFURT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Sales Division</w:t>
      </w:r>
      <w:r>
        <w:br/>
      </w:r>
      <w:r>
        <w:rPr>
          <w:bCs/>
          <w:b/>
        </w:rPr>
        <w:t xml:space="preserve">Report Period:</w:t>
      </w:r>
      <w:r>
        <w:t xml:space="preserve"> </w:t>
      </w:r>
      <w:r>
        <w:t xml:space="preserve">Q1–Q3 2023</w:t>
      </w:r>
    </w:p>
    <w:bookmarkStart w:id="20" w:name="executive-summary"/>
    <w:p>
      <w:pPr>
        <w:pStyle w:val="Heading2"/>
      </w:pPr>
      <w:r>
        <w:t xml:space="preserve">Executive Summary</w:t>
      </w:r>
    </w:p>
    <w:p>
      <w:pPr>
        <w:pStyle w:val="FirstParagraph"/>
      </w:pPr>
      <w:r>
        <w:t xml:space="preserve">This comprehensive Sales Report details the exceptional performance of our sales leadership team under the strategic guidance of Mr. Jonathan Judge in the Germany Frankfurt market. As a critical financial hub within Europe, Frankfurt represents a high-stakes territory requiring nuanced market intelligence and relationship-driven execution. The Sales Report confirms that Judge’s leadership has propelled our regional revenue to €18.7M in Q3 2023—a 24% year-over-year increase—with Frankfurt serving as the cornerstone of our German market success. This growth is directly attributed to Judge’s deep understanding of local business culture, regulatory landscape, and client needs within Germany Frankfurt’s unique economic ecosystem.</w:t>
      </w:r>
    </w:p>
    <w:bookmarkEnd w:id="20"/>
    <w:bookmarkStart w:id="21" w:name="X636a8862bc126db25cb04c25507dd381c2777f3"/>
    <w:p>
      <w:pPr>
        <w:pStyle w:val="Heading2"/>
      </w:pPr>
      <w:r>
        <w:t xml:space="preserve">Regional Performance: Germany Frankfurt Market Analysis</w:t>
      </w:r>
    </w:p>
    <w:p>
      <w:pPr>
        <w:pStyle w:val="FirstParagraph"/>
      </w:pPr>
      <w:r>
        <w:t xml:space="preserve">The Germany Frankfurt region remains the epicenter of our European operations due to its status as the continent’s largest financial center. Home to the European Central Bank (ECB), Deutsche Börse, and headquarters of major banks including Deutsche Bank and Commerzbank, this market demands precision in sales strategy. The Sales Report indicates that our Frankfurt team achieved a 31% new client acquisition rate in Q3 2023—surpassing the European average by 17 percentage points. This success is rooted in Judge’s implementation of localized engagement frameworks tailored to Frankfurt’s corporate environment.</w:t>
      </w:r>
    </w:p>
    <w:p>
      <w:pPr>
        <w:pStyle w:val="BodyText"/>
      </w:pPr>
      <w:r>
        <w:t xml:space="preserve">Key performance metrics for Germany Frankfurt include:</w:t>
      </w:r>
    </w:p>
    <w:p>
      <w:pPr>
        <w:numPr>
          <w:ilvl w:val="0"/>
          <w:numId w:val="1001"/>
        </w:numPr>
        <w:pStyle w:val="Compact"/>
      </w:pPr>
      <w:r>
        <w:rPr>
          <w:bCs/>
          <w:b/>
        </w:rPr>
        <w:t xml:space="preserve">Revenue Growth:</w:t>
      </w:r>
      <w:r>
        <w:t xml:space="preserve"> </w:t>
      </w:r>
      <w:r>
        <w:t xml:space="preserve">€56.2M YoY (32% increase from 2021)</w:t>
      </w:r>
    </w:p>
    <w:p>
      <w:pPr>
        <w:numPr>
          <w:ilvl w:val="0"/>
          <w:numId w:val="1001"/>
        </w:numPr>
        <w:pStyle w:val="Compact"/>
      </w:pPr>
      <w:r>
        <w:rPr>
          <w:bCs/>
          <w:b/>
        </w:rPr>
        <w:t xml:space="preserve">Cross-Sell Rate:</w:t>
      </w:r>
      <w:r>
        <w:t xml:space="preserve"> </w:t>
      </w:r>
      <w:r>
        <w:t xml:space="preserve">48% (vs. EU average of 34%)</w:t>
      </w:r>
    </w:p>
    <w:p>
      <w:pPr>
        <w:numPr>
          <w:ilvl w:val="0"/>
          <w:numId w:val="1001"/>
        </w:numPr>
        <w:pStyle w:val="Compact"/>
      </w:pPr>
      <w:r>
        <w:rPr>
          <w:bCs/>
          <w:b/>
        </w:rPr>
        <w:t xml:space="preserve">Custumer Retention:</w:t>
      </w:r>
      <w:r>
        <w:t xml:space="preserve"> </w:t>
      </w:r>
      <w:r>
        <w:t xml:space="preserve">91% (exceeding target by 9 points)</w:t>
      </w:r>
    </w:p>
    <w:bookmarkEnd w:id="21"/>
    <w:bookmarkStart w:id="22" w:name="X40ec71e0917144b15e54a5e99add20ce291df5e"/>
    <w:p>
      <w:pPr>
        <w:pStyle w:val="Heading2"/>
      </w:pPr>
      <w:r>
        <w:t xml:space="preserve">Judge’s Strategic Leadership in Germany Frankfurt</w:t>
      </w:r>
    </w:p>
    <w:p>
      <w:pPr>
        <w:pStyle w:val="FirstParagraph"/>
      </w:pPr>
      <w:r>
        <w:t xml:space="preserve">Mr. Jonathan Judge, as Head of Sales for Central Europe, has fundamentally transformed our approach to the Germany Frankfurt market. His tenure since January 2021 introduced three pivotal initiatives that directly fueled this growth:</w:t>
      </w:r>
    </w:p>
    <w:p>
      <w:pPr>
        <w:numPr>
          <w:ilvl w:val="0"/>
          <w:numId w:val="1002"/>
        </w:numPr>
        <w:pStyle w:val="Compact"/>
      </w:pPr>
      <w:r>
        <w:rPr>
          <w:bCs/>
          <w:b/>
        </w:rPr>
        <w:t xml:space="preserve">Regulatory Integration Framework:</w:t>
      </w:r>
      <w:r>
        <w:t xml:space="preserve"> </w:t>
      </w:r>
      <w:r>
        <w:t xml:space="preserve">Judge spearheaded compliance protocols aligned with German data privacy laws (GDPR) and financial reporting standards, enabling seamless onboarding for Frankfurt-based clients. This reduced contract negotiation timelines by 37%.</w:t>
      </w:r>
    </w:p>
    <w:p>
      <w:pPr>
        <w:numPr>
          <w:ilvl w:val="0"/>
          <w:numId w:val="1002"/>
        </w:numPr>
        <w:pStyle w:val="Compact"/>
      </w:pPr>
      <w:r>
        <w:rPr>
          <w:bCs/>
          <w:b/>
        </w:rPr>
        <w:t xml:space="preserve">Industry-Specific Solution Pivots:</w:t>
      </w:r>
      <w:r>
        <w:t xml:space="preserve"> </w:t>
      </w:r>
      <w:r>
        <w:t xml:space="preserve">Recognizing Frankfurt’s dominance in fintech and asset management, Judge redirected sales focus toward SaaS solutions for portfolio analytics and regulatory reporting—accounting for 68% of Q3 revenue in Germany Frankfurt.</w:t>
      </w:r>
    </w:p>
    <w:p>
      <w:pPr>
        <w:numPr>
          <w:ilvl w:val="0"/>
          <w:numId w:val="1002"/>
        </w:numPr>
        <w:pStyle w:val="Compact"/>
      </w:pPr>
      <w:r>
        <w:rPr>
          <w:bCs/>
          <w:b/>
        </w:rPr>
        <w:t xml:space="preserve">Local Talent Development:</w:t>
      </w:r>
      <w:r>
        <w:t xml:space="preserve"> </w:t>
      </w:r>
      <w:r>
        <w:t xml:space="preserve">Under Judge’s mentorship, the Frankfurt sales team grew from 12 to 27 specialists, all fluent in German business etiquette. This localized capability directly improved client trust metrics by 41%.</w:t>
      </w:r>
    </w:p>
    <w:p>
      <w:pPr>
        <w:pStyle w:val="FirstParagraph"/>
      </w:pPr>
      <w:r>
        <w:t xml:space="preserve">"Frankfurt isn’t just a market—it’s a complex ecosystem," noted Judge during our Q3 leadership review. "Success requires speaking the language of Deutsche Börse, respecting the pace of German decision-making, and aligning with Frankfurt’s reputation for precision. Our Sales Report proves that this approach delivers."</w:t>
      </w:r>
    </w:p>
    <w:bookmarkEnd w:id="22"/>
    <w:bookmarkStart w:id="23" w:name="competitive-landscape-differentiation"/>
    <w:p>
      <w:pPr>
        <w:pStyle w:val="Heading2"/>
      </w:pPr>
      <w:r>
        <w:t xml:space="preserve">Competitive Landscape &amp; Differentiation</w:t>
      </w:r>
    </w:p>
    <w:p>
      <w:pPr>
        <w:pStyle w:val="FirstParagraph"/>
      </w:pPr>
      <w:r>
        <w:t xml:space="preserve">The Germany Frankfurt market is fiercely competitive, with established players like SAP and Oracle vying for dominance in the financial sector. However, Judge’s team has carved a distinct advantage through:</w:t>
      </w:r>
    </w:p>
    <w:p>
      <w:pPr>
        <w:numPr>
          <w:ilvl w:val="0"/>
          <w:numId w:val="1003"/>
        </w:numPr>
        <w:pStyle w:val="Compact"/>
      </w:pPr>
      <w:r>
        <w:rPr>
          <w:bCs/>
          <w:b/>
        </w:rPr>
        <w:t xml:space="preserve">Hyper-Local Client Engagement:</w:t>
      </w:r>
      <w:r>
        <w:t xml:space="preserve"> </w:t>
      </w:r>
      <w:r>
        <w:t xml:space="preserve">Hosting quarterly executive roundtables at Frankfurt’s Zeil district venues to discuss market-specific challenges.</w:t>
      </w:r>
    </w:p>
    <w:p>
      <w:pPr>
        <w:numPr>
          <w:ilvl w:val="0"/>
          <w:numId w:val="1003"/>
        </w:numPr>
        <w:pStyle w:val="Compact"/>
      </w:pPr>
      <w:r>
        <w:rPr>
          <w:bCs/>
          <w:b/>
        </w:rPr>
        <w:t xml:space="preserve">Ethical Sales Alignment:</w:t>
      </w:r>
      <w:r>
        <w:t xml:space="preserve"> </w:t>
      </w:r>
      <w:r>
        <w:t xml:space="preserve">Embedding ESG (Environmental, Social, Governance) metrics into all proposals—critical for Frankfurt-based ESG-conscious firms.</w:t>
      </w:r>
    </w:p>
    <w:p>
      <w:pPr>
        <w:numPr>
          <w:ilvl w:val="0"/>
          <w:numId w:val="1003"/>
        </w:numPr>
        <w:pStyle w:val="Compact"/>
      </w:pPr>
      <w:r>
        <w:rPr>
          <w:bCs/>
          <w:b/>
        </w:rPr>
        <w:t xml:space="preserve">Technology Integration:</w:t>
      </w:r>
      <w:r>
        <w:t xml:space="preserve"> </w:t>
      </w:r>
      <w:r>
        <w:t xml:space="preserve">Partnering with Frankfurt’s Techstars accelerator to co-develop AI-driven sales tools now used across 85% of Germany Frankfurt accounts.</w:t>
      </w:r>
    </w:p>
    <w:p>
      <w:pPr>
        <w:pStyle w:val="FirstParagraph"/>
      </w:pPr>
      <w:r>
        <w:t xml:space="preserve">The Sales Report identifies a 22-point customer satisfaction differential against competitors (NPS: 68 vs. industry average of 46), directly traceable to Judge’s emphasis on relationship longevity over transactional wins.</w:t>
      </w:r>
    </w:p>
    <w:bookmarkEnd w:id="23"/>
    <w:bookmarkStart w:id="24" w:name="X54cd4adadab13ec81ab69230d193274874d785d"/>
    <w:p>
      <w:pPr>
        <w:pStyle w:val="Heading2"/>
      </w:pPr>
      <w:r>
        <w:t xml:space="preserve">Market Challenges in Germany Frankfurt &amp; Mitigation</w:t>
      </w:r>
    </w:p>
    <w:p>
      <w:pPr>
        <w:pStyle w:val="FirstParagraph"/>
      </w:pPr>
      <w:r>
        <w:t xml:space="preserve">Despite strong performance, Judge highlighted two critical challenges unique to Germany Frankfurt:</w:t>
      </w:r>
    </w:p>
    <w:p>
      <w:pPr>
        <w:numPr>
          <w:ilvl w:val="0"/>
          <w:numId w:val="1004"/>
        </w:numPr>
        <w:pStyle w:val="Compact"/>
      </w:pPr>
      <w:r>
        <w:rPr>
          <w:bCs/>
          <w:b/>
        </w:rPr>
        <w:t xml:space="preserve">Supply Chain Volatility:</w:t>
      </w:r>
      <w:r>
        <w:t xml:space="preserve"> </w:t>
      </w:r>
      <w:r>
        <w:t xml:space="preserve">Rising costs for German-manufactured hardware components required dynamic pricing models. Judge negotiated volume-based agreements with local partners, preserving margins by 12%.</w:t>
      </w:r>
    </w:p>
    <w:p>
      <w:pPr>
        <w:numPr>
          <w:ilvl w:val="0"/>
          <w:numId w:val="1004"/>
        </w:numPr>
        <w:pStyle w:val="Compact"/>
      </w:pPr>
      <w:r>
        <w:rPr>
          <w:bCs/>
          <w:b/>
        </w:rPr>
        <w:t xml:space="preserve">Talent Retention in Frankfurt’s High-Cost Market:</w:t>
      </w:r>
      <w:r>
        <w:t xml:space="preserve"> </w:t>
      </w:r>
      <w:r>
        <w:t xml:space="preserve">Competitive salaries from financial institutions threatened team stability. Judge launched a "Frankfurt Advantage" program offering flexible work arrangements and ECB partnership access—reducing attrition to 5% (below EU average of 14%).</w:t>
      </w:r>
    </w:p>
    <w:bookmarkEnd w:id="24"/>
    <w:bookmarkStart w:id="25" w:name="X129cc93d54dc2bb56c86fb82f89410facff034b"/>
    <w:p>
      <w:pPr>
        <w:pStyle w:val="Heading2"/>
      </w:pPr>
      <w:r>
        <w:t xml:space="preserve">Forward-Looking Strategy for Germany Frankfurt</w:t>
      </w:r>
    </w:p>
    <w:p>
      <w:pPr>
        <w:pStyle w:val="FirstParagraph"/>
      </w:pPr>
      <w:r>
        <w:t xml:space="preserve">Based on this Sales Report, Judge has outlined a 12-month roadmap for Germany Frankfurt centered on three pillars:</w:t>
      </w:r>
    </w:p>
    <w:p>
      <w:pPr>
        <w:numPr>
          <w:ilvl w:val="0"/>
          <w:numId w:val="1005"/>
        </w:numPr>
        <w:pStyle w:val="Compact"/>
      </w:pPr>
      <w:r>
        <w:rPr>
          <w:bCs/>
          <w:b/>
        </w:rPr>
        <w:t xml:space="preserve">AI-Powered Market Intelligence:</w:t>
      </w:r>
      <w:r>
        <w:t xml:space="preserve"> </w:t>
      </w:r>
      <w:r>
        <w:t xml:space="preserve">Deploying predictive analytics to anticipate Frankfurt market shifts (e.g., ECB policy changes), with implementation by Q1 2024.</w:t>
      </w:r>
    </w:p>
    <w:p>
      <w:pPr>
        <w:numPr>
          <w:ilvl w:val="0"/>
          <w:numId w:val="1005"/>
        </w:numPr>
        <w:pStyle w:val="Compact"/>
      </w:pPr>
      <w:r>
        <w:rPr>
          <w:bCs/>
          <w:b/>
        </w:rPr>
        <w:t xml:space="preserve">Sustainability-First Sales Cycle:</w:t>
      </w:r>
      <w:r>
        <w:t xml:space="preserve"> </w:t>
      </w:r>
      <w:r>
        <w:t xml:space="preserve">Embedding carbon footprint tracking into all proposals to align with Frankfurt’s Green Finance Initiative, targeting 30% of new deals by year-end.</w:t>
      </w:r>
    </w:p>
    <w:p>
      <w:pPr>
        <w:numPr>
          <w:ilvl w:val="0"/>
          <w:numId w:val="1005"/>
        </w:numPr>
        <w:pStyle w:val="Compact"/>
      </w:pPr>
      <w:r>
        <w:rPr>
          <w:bCs/>
          <w:b/>
        </w:rPr>
        <w:t xml:space="preserve">Diversification Beyond Finance:</w:t>
      </w:r>
      <w:r>
        <w:t xml:space="preserve"> </w:t>
      </w:r>
      <w:r>
        <w:t xml:space="preserve">Expanding into Frankfurt’s growing logistics and green energy sectors, representing €4.2M in potential addressable market.</w:t>
      </w:r>
    </w:p>
    <w:p>
      <w:pPr>
        <w:pStyle w:val="FirstParagraph"/>
      </w:pPr>
      <w:r>
        <w:t xml:space="preserve">"Our Germany Frankfurt success isn’t accidental—it’s the result of Judge’s unwavering focus on local context," stated the Regional CEO in this Sales Report. "He treats Frankfurt not as a sales territory, but as a strategic priority requiring tailored leadership."</w:t>
      </w:r>
    </w:p>
    <w:bookmarkEnd w:id="25"/>
    <w:bookmarkStart w:id="26" w:name="conclusion-the-judge-driven-growth-model"/>
    <w:p>
      <w:pPr>
        <w:pStyle w:val="Heading2"/>
      </w:pPr>
      <w:r>
        <w:t xml:space="preserve">Conclusion: The Judge-Driven Growth Model</w:t>
      </w:r>
    </w:p>
    <w:p>
      <w:pPr>
        <w:pStyle w:val="FirstParagraph"/>
      </w:pPr>
      <w:r>
        <w:t xml:space="preserve">The Germany Frankfurt market has proven to be the most profitable region for our global enterprise solutions. This Sales Report underscores that Mr. Jonathan Judge’s leadership—marked by cultural intelligence, regulatory agility, and client-centric innovation—has positioned us as a top-tier partner in one of Europe’s most demanding markets. His team’s 24% YoY growth in Germany Frankfurt (compared to the EU average of 13%) validates our strategic investment in localized sales excellence.</w:t>
      </w:r>
    </w:p>
    <w:p>
      <w:pPr>
        <w:pStyle w:val="BodyText"/>
      </w:pPr>
      <w:r>
        <w:t xml:space="preserve">As we enter 2024, Judge’s framework will be scaled across all German regions. For now, the message is clear: In a market where precision defines success, Germany Frankfurt stands as our flagship—powered by Judge’s vision. The Sales Report affirms that this model isn’t just delivering results; it’s redefining them.</w:t>
      </w:r>
    </w:p>
    <w:p>
      <w:pPr>
        <w:pStyle w:val="BodyText"/>
      </w:pPr>
      <w:r>
        <w:rPr>
          <w:bCs/>
          <w:b/>
        </w:rPr>
        <w:t xml:space="preserve">Prepared By:</w:t>
      </w:r>
      <w:r>
        <w:t xml:space="preserve"> </w:t>
      </w:r>
      <w:r>
        <w:t xml:space="preserve">Global Sales Intelligence Unit</w:t>
      </w:r>
      <w:r>
        <w:br/>
      </w:r>
      <w:r>
        <w:rPr>
          <w:bCs/>
          <w:b/>
        </w:rPr>
        <w:t xml:space="preserve">Confidentiality Level:</w:t>
      </w:r>
      <w:r>
        <w:t xml:space="preserve"> </w:t>
      </w:r>
      <w:r>
        <w:t xml:space="preserve">Executive Tier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Sales Performance Report: Judge Leadership in Germany Frankfurt Market</dc:title>
  <dc:creator/>
  <dc:language>en</dc:language>
  <cp:keywords/>
  <dcterms:created xsi:type="dcterms:W3CDTF">2026-07-23T16:26:59Z</dcterms:created>
  <dcterms:modified xsi:type="dcterms:W3CDTF">2026-07-23T16:26:59Z</dcterms:modified>
</cp:coreProperties>
</file>

<file path=docProps/custom.xml><?xml version="1.0" encoding="utf-8"?>
<Properties xmlns="http://schemas.openxmlformats.org/officeDocument/2006/custom-properties" xmlns:vt="http://schemas.openxmlformats.org/officeDocument/2006/docPropsVTypes"/>
</file>