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Judge</w:t>
      </w:r>
      <w:r>
        <w:t xml:space="preserve"> </w:t>
      </w:r>
      <w:r>
        <w:t xml:space="preserve">Group</w:t>
      </w:r>
      <w:r>
        <w:t xml:space="preserve"> </w:t>
      </w:r>
      <w:r>
        <w:t xml:space="preserve">-</w:t>
      </w:r>
      <w:r>
        <w:t xml:space="preserve"> </w:t>
      </w:r>
      <w:r>
        <w:t xml:space="preserve">Netherlands</w:t>
      </w:r>
      <w:r>
        <w:t xml:space="preserve"> </w:t>
      </w:r>
      <w:r>
        <w:t xml:space="preserve">Amsterdam</w:t>
      </w:r>
      <w:r>
        <w:t xml:space="preserve"> </w:t>
      </w:r>
      <w:r>
        <w:t xml:space="preserve">Market</w:t>
      </w:r>
    </w:p>
    <w:bookmarkStart w:id="29" w:name="Xafdb8fd7485e2a6a0af484cdcfa16e65a01da3a"/>
    <w:p>
      <w:pPr>
        <w:pStyle w:val="Heading1"/>
      </w:pPr>
      <w:r>
        <w:t xml:space="preserve">Comprehensive Sales Report: Judge Group Performance in Netherlands Amsterdam (Q1 2024)</w:t>
      </w:r>
    </w:p>
    <w:p>
      <w:pPr>
        <w:pStyle w:val="FirstParagraph"/>
      </w:pPr>
      <w:r>
        <w:rPr>
          <w:bCs/>
          <w:b/>
        </w:rPr>
        <w:t xml:space="preserve">Prepared for Executive Leadership &amp; Stakeholders | Date: May 15, 2024 | Confidential</w:t>
      </w:r>
    </w:p>
    <w:bookmarkStart w:id="20" w:name="executive-summary"/>
    <w:p>
      <w:pPr>
        <w:pStyle w:val="Heading2"/>
      </w:pPr>
      <w:r>
        <w:t xml:space="preserve">Executive Summary</w:t>
      </w:r>
    </w:p>
    <w:p>
      <w:pPr>
        <w:pStyle w:val="FirstParagraph"/>
      </w:pPr>
      <w:r>
        <w:t xml:space="preserve">This Sales Report details the exceptional performance of Judge Group in the Netherlands Amsterdam market during Q1 2024. As a leading legal technology provider headquartered in Amsterdam, Judge has cemented its position as the premier solution for Dutch law firms and judicial institutions. The quarter marked a 37% year-over-year revenue increase, with Amsterdam serving as the strategic operational hub driving growth across the Netherlands. This document synthesizes key metrics, market insights, and strategic initiatives specific to our Netherlands Amsterdam operations.</w:t>
      </w:r>
    </w:p>
    <w:bookmarkEnd w:id="20"/>
    <w:bookmarkStart w:id="21" w:name="Xf18bb365b4c33fdfcf58f19398a2895fc813c84"/>
    <w:p>
      <w:pPr>
        <w:pStyle w:val="Heading2"/>
      </w:pPr>
      <w:r>
        <w:t xml:space="preserve">Market Context: Judge Group in Netherlands Amsterdam</w:t>
      </w:r>
    </w:p>
    <w:p>
      <w:pPr>
        <w:pStyle w:val="FirstParagraph"/>
      </w:pPr>
      <w:r>
        <w:t xml:space="preserve">Amsterdam represents the nerve center of Judge Group's European expansion. The Netherlands' legal sector – comprising over 18,000 lawyers across 1,500 firms and 47 courts – presents a sophisticated market demanding GDPR-compliant digital solutions. Judge's Amsterdam headquarters enables seamless integration with local judicial processes, including direct connectivity to the Dutch Central Judiciary System (CJN). This proximity has been pivotal in securing major contracts with key entities like the Amsterdam District Court, The Hague Public Prosecutor's Office, and prominent Amsterdams law firms such as Van Benthem &amp; Partners.</w:t>
      </w:r>
    </w:p>
    <w:bookmarkEnd w:id="21"/>
    <w:bookmarkStart w:id="23" w:name="Xd932804ee1a895b5a1e0746b45190c6db420207"/>
    <w:p>
      <w:pPr>
        <w:pStyle w:val="Heading2"/>
      </w:pPr>
      <w:r>
        <w:t xml:space="preserve">Q1 2024 Sales Performance: Netherlands Amsterdam</w:t>
      </w:r>
    </w:p>
    <w:p>
      <w:pPr>
        <w:pStyle w:val="FirstParagraph"/>
      </w:pPr>
      <w:r>
        <w:t xml:space="preserve">KPI</w:t>
      </w:r>
    </w:p>
    <w:p>
      <w:pPr>
        <w:pStyle w:val="BodyText"/>
      </w:pPr>
      <w:r>
        <w:t xml:space="preserve">Q1 2024</w:t>
      </w:r>
    </w:p>
    <w:p>
      <w:pPr>
        <w:pStyle w:val="BodyText"/>
      </w:pPr>
      <w:r>
        <w:t xml:space="preserve">Q1 2023</w:t>
      </w:r>
    </w:p>
    <w:p>
      <w:pPr>
        <w:pStyle w:val="BodyText"/>
      </w:pPr>
      <w:r>
        <w:t xml:space="preserve">% CHANGE</w:t>
      </w:r>
    </w:p>
    <w:p>
      <w:pPr>
        <w:pStyle w:val="BodyText"/>
      </w:pPr>
      <w:r>
        <w:t xml:space="preserve">Total Revenue (EUR)</w:t>
      </w:r>
    </w:p>
    <w:p>
      <w:pPr>
        <w:pStyle w:val="BodyText"/>
      </w:pPr>
      <w:r>
        <w:t xml:space="preserve">€8,450,000</w:t>
      </w:r>
    </w:p>
    <w:p>
      <w:pPr>
        <w:pStyle w:val="BodyText"/>
      </w:pPr>
      <w:r>
        <w:t xml:space="preserve">€6,165,000</w:t>
      </w:r>
    </w:p>
    <w:p>
      <w:pPr>
        <w:pStyle w:val="BodyText"/>
      </w:pPr>
      <w:r>
        <w:t xml:space="preserve">+37.1%</w:t>
      </w:r>
    </w:p>
    <w:p>
      <w:pPr>
        <w:pStyle w:val="BodyText"/>
      </w:pPr>
      <w:r>
        <w:t xml:space="preserve">New Enterprise Contracts</w:t>
      </w:r>
    </w:p>
    <w:p>
      <w:pPr>
        <w:pStyle w:val="BodyText"/>
      </w:pPr>
      <w:r>
        <w:t xml:space="preserve">22</w:t>
      </w:r>
    </w:p>
    <w:p>
      <w:pPr>
        <w:pStyle w:val="BodyText"/>
      </w:pPr>
      <w:r>
        <w:t xml:space="preserve">14</w:t>
      </w:r>
    </w:p>
    <w:p>
      <w:pPr>
        <w:pStyle w:val="BodyText"/>
      </w:pPr>
      <w:r>
        <w:t xml:space="preserve">+57.1%</w:t>
      </w:r>
    </w:p>
    <w:p>
      <w:pPr>
        <w:pStyle w:val="BodyText"/>
      </w:pPr>
      <w:r>
        <w:t xml:space="preserve">Sales Conversion Rate (Amsterdam)</w:t>
      </w:r>
    </w:p>
    <w:p>
      <w:pPr>
        <w:pStyle w:val="BodyText"/>
      </w:pPr>
      <w:r>
        <w:t xml:space="preserve">34.8%</w:t>
      </w:r>
    </w:p>
    <w:p>
      <w:pPr>
        <w:pStyle w:val="BodyText"/>
      </w:pPr>
      <w:r>
        <w:t xml:space="preserve">28.3%</w:t>
      </w:r>
    </w:p>
    <w:p>
      <w:pPr>
        <w:pStyle w:val="BodyText"/>
      </w:pPr>
      <w:r>
        <w:t xml:space="preserve">+6.5 pts</w:t>
      </w:r>
    </w:p>
    <w:p>
      <w:pPr>
        <w:pStyle w:val="BodyText"/>
      </w:pPr>
      <w:r>
        <w:t xml:space="preserve">Client Retention Rate</w:t>
      </w:r>
    </w:p>
    <w:p>
      <w:pPr>
        <w:pStyle w:val="BodyText"/>
      </w:pPr>
      <w:r>
        <w:t xml:space="preserve">94.2%91.7%+2.5 pts</w:t>
      </w:r>
    </w:p>
    <w:bookmarkStart w:id="22" w:name="key-growth-drivers-in-amsterdam-market"/>
    <w:p>
      <w:pPr>
        <w:pStyle w:val="Heading3"/>
      </w:pPr>
      <w:r>
        <w:t xml:space="preserve">Key Growth Drivers in Amsterdam Market</w:t>
      </w:r>
    </w:p>
    <w:p>
      <w:pPr>
        <w:pStyle w:val="FirstParagraph"/>
      </w:pPr>
      <w:r>
        <w:t xml:space="preserve">The 37% revenue surge is directly attributable to three strategic initiatives:</w:t>
      </w:r>
    </w:p>
    <w:p>
      <w:pPr>
        <w:numPr>
          <w:ilvl w:val="0"/>
          <w:numId w:val="1001"/>
        </w:numPr>
        <w:pStyle w:val="Compact"/>
      </w:pPr>
      <w:r>
        <w:rPr>
          <w:bCs/>
          <w:b/>
        </w:rPr>
        <w:t xml:space="preserve">GDPR-First Product Integration:</w:t>
      </w:r>
      <w:r>
        <w:t xml:space="preserve"> </w:t>
      </w:r>
      <w:r>
        <w:t xml:space="preserve">Judge’s Amsterdam team developed a localized compliance module specifically for Dutch legal data handling, certified by the Netherlands Authority for the Financial Markets (AFM). This feature was adopted by 83% of new clients.</w:t>
      </w:r>
    </w:p>
    <w:p>
      <w:pPr>
        <w:numPr>
          <w:ilvl w:val="0"/>
          <w:numId w:val="1001"/>
        </w:numPr>
        <w:pStyle w:val="Compact"/>
      </w:pPr>
      <w:r>
        <w:rPr>
          <w:bCs/>
          <w:b/>
        </w:rPr>
        <w:t xml:space="preserve">Amsterdam Legal Tech Ecosystem Partnerships:</w:t>
      </w:r>
      <w:r>
        <w:t xml:space="preserve"> </w:t>
      </w:r>
      <w:r>
        <w:t xml:space="preserve">Strategic alliances with A'DAM Innovation Hub and Amsterdam University Medical Center’s legal division generated 15 qualified leads, resulting in €2.1M in closed deals.</w:t>
      </w:r>
    </w:p>
    <w:p>
      <w:pPr>
        <w:numPr>
          <w:ilvl w:val="0"/>
          <w:numId w:val="1001"/>
        </w:numPr>
        <w:pStyle w:val="Compact"/>
      </w:pPr>
      <w:r>
        <w:rPr>
          <w:bCs/>
          <w:b/>
        </w:rPr>
        <w:t xml:space="preserve">Local Sales Team Expansion:</w:t>
      </w:r>
      <w:r>
        <w:t xml:space="preserve"> </w:t>
      </w:r>
      <w:r>
        <w:t xml:space="preserve">Hiring 8 Dutch-speaking sales specialists (all based at our Amsterdam office) increased market coverage by 40% compared to Q4 2023.</w:t>
      </w:r>
    </w:p>
    <w:bookmarkEnd w:id="22"/>
    <w:bookmarkEnd w:id="23"/>
    <w:bookmarkStart w:id="24" w:name="product-performance-highlights"/>
    <w:p>
      <w:pPr>
        <w:pStyle w:val="Heading2"/>
      </w:pPr>
      <w:r>
        <w:t xml:space="preserve">Product Performance Highlights</w:t>
      </w:r>
    </w:p>
    <w:p>
      <w:pPr>
        <w:pStyle w:val="FirstParagraph"/>
      </w:pPr>
      <w:r>
        <w:t xml:space="preserve">The Judge Suite's performance in the Netherlands Amsterdam market demonstrates clear differentiation:</w:t>
      </w:r>
    </w:p>
    <w:p>
      <w:pPr>
        <w:numPr>
          <w:ilvl w:val="0"/>
          <w:numId w:val="1002"/>
        </w:numPr>
        <w:pStyle w:val="Compact"/>
      </w:pPr>
      <w:r>
        <w:rPr>
          <w:bCs/>
          <w:b/>
        </w:rPr>
        <w:t xml:space="preserve">CaseFlow Manager:</w:t>
      </w:r>
      <w:r>
        <w:t xml:space="preserve"> </w:t>
      </w:r>
      <w:r>
        <w:t xml:space="preserve">Dominated the enterprise segment with 68% adoption rate among Amsterdam-based firms, reducing document processing time by 52% per legal case (validated by independent audit from KPMG Netherlands).</w:t>
      </w:r>
    </w:p>
    <w:p>
      <w:pPr>
        <w:numPr>
          <w:ilvl w:val="0"/>
          <w:numId w:val="1002"/>
        </w:numPr>
        <w:pStyle w:val="Compact"/>
      </w:pPr>
      <w:r>
        <w:rPr>
          <w:bCs/>
          <w:b/>
        </w:rPr>
        <w:t xml:space="preserve">Judge eDiscovery Pro:</w:t>
      </w:r>
      <w:r>
        <w:t xml:space="preserve"> </w:t>
      </w:r>
      <w:r>
        <w:t xml:space="preserve">Secured contracts with all three major Amsterdam litigation practices following a successful pilot at the Amsterdam Court of Appeal.</w:t>
      </w:r>
    </w:p>
    <w:p>
      <w:pPr>
        <w:numPr>
          <w:ilvl w:val="0"/>
          <w:numId w:val="1002"/>
        </w:numPr>
        <w:pStyle w:val="Compact"/>
      </w:pPr>
      <w:r>
        <w:rPr>
          <w:bCs/>
          <w:b/>
        </w:rPr>
        <w:t xml:space="preserve">Legal Analytics Dashboard:</w:t>
      </w:r>
      <w:r>
        <w:t xml:space="preserve"> </w:t>
      </w:r>
      <w:r>
        <w:t xml:space="preserve">Became the standard reporting tool for 12 of 14 Dutch legal associations due to its real-time insight into case trends specific to Amsterdam’s high-volume commercial courts.</w:t>
      </w:r>
    </w:p>
    <w:bookmarkEnd w:id="24"/>
    <w:bookmarkStart w:id="25" w:name="competitive-positioning-in-netherlands"/>
    <w:p>
      <w:pPr>
        <w:pStyle w:val="Heading2"/>
      </w:pPr>
      <w:r>
        <w:t xml:space="preserve">Competitive Positioning in Netherlands</w:t>
      </w:r>
    </w:p>
    <w:p>
      <w:pPr>
        <w:pStyle w:val="FirstParagraph"/>
      </w:pPr>
      <w:r>
        <w:t xml:space="preserve">Amsterdam's competitive landscape features international vendors like LexisNexis and local players such as Juridica. Judge maintains a 63% market share advantage in the Netherlands' high-growth legal tech segment through:</w:t>
      </w:r>
    </w:p>
    <w:p>
      <w:pPr>
        <w:numPr>
          <w:ilvl w:val="0"/>
          <w:numId w:val="1003"/>
        </w:numPr>
        <w:pStyle w:val="Compact"/>
      </w:pPr>
      <w:r>
        <w:rPr>
          <w:bCs/>
          <w:b/>
        </w:rPr>
        <w:t xml:space="preserve">Hyperlocal Expertise:</w:t>
      </w:r>
      <w:r>
        <w:t xml:space="preserve"> </w:t>
      </w:r>
      <w:r>
        <w:t xml:space="preserve">Amsterdam-based product team incorporates Dutch legal terminology (e.g., "rechtbank" vs. "court") into all user interfaces, eliminating training barriers.</w:t>
      </w:r>
    </w:p>
    <w:p>
      <w:pPr>
        <w:numPr>
          <w:ilvl w:val="0"/>
          <w:numId w:val="1003"/>
        </w:numPr>
        <w:pStyle w:val="Compact"/>
      </w:pPr>
      <w:r>
        <w:rPr>
          <w:bCs/>
          <w:b/>
        </w:rPr>
        <w:t xml:space="preserve">Netherlands-Specific Compliance:</w:t>
      </w:r>
      <w:r>
        <w:t xml:space="preserve"> </w:t>
      </w:r>
      <w:r>
        <w:t xml:space="preserve">Pre-configured settings for Dutch invoicing (BTW), court filing formats, and data residency requirements – critical for firms avoiding GDPR penalties.</w:t>
      </w:r>
    </w:p>
    <w:p>
      <w:pPr>
        <w:numPr>
          <w:ilvl w:val="0"/>
          <w:numId w:val="1003"/>
        </w:numPr>
        <w:pStyle w:val="Compact"/>
      </w:pPr>
      <w:r>
        <w:rPr>
          <w:bCs/>
          <w:b/>
        </w:rPr>
        <w:t xml:space="preserve">Amsterdam Client Success Stories:</w:t>
      </w:r>
      <w:r>
        <w:t xml:space="preserve"> </w:t>
      </w:r>
      <w:r>
        <w:t xml:space="preserve">92% of Amsterdam-based clients cite Judge’s local presence as the primary factor in their purchase decision, versus only 41% for international competitors.</w:t>
      </w:r>
    </w:p>
    <w:bookmarkEnd w:id="25"/>
    <w:bookmarkStart w:id="26" w:name="challenges-and-strategic-response"/>
    <w:p>
      <w:pPr>
        <w:pStyle w:val="Heading2"/>
      </w:pPr>
      <w:r>
        <w:t xml:space="preserve">Challenges and Strategic Response</w:t>
      </w:r>
    </w:p>
    <w:p>
      <w:pPr>
        <w:pStyle w:val="FirstParagraph"/>
      </w:pPr>
      <w:r>
        <w:t xml:space="preserve">The Netherlands Amsterdam market presented two significant hurdles this quarter:</w:t>
      </w:r>
    </w:p>
    <w:p>
      <w:pPr>
        <w:numPr>
          <w:ilvl w:val="0"/>
          <w:numId w:val="1004"/>
        </w:numPr>
        <w:pStyle w:val="Compact"/>
      </w:pPr>
      <w:r>
        <w:rPr>
          <w:bCs/>
          <w:b/>
        </w:rPr>
        <w:t xml:space="preserve">Regulatory Complexity:</w:t>
      </w:r>
      <w:r>
        <w:t xml:space="preserve"> </w:t>
      </w:r>
      <w:r>
        <w:t xml:space="preserve">New Dutch Electronic Evidence Act (2023) required rapid feature updates. Judge’s Amsterdam R&amp;D team deployed compliance patches 17 days ahead of competitors.</w:t>
      </w:r>
    </w:p>
    <w:p>
      <w:pPr>
        <w:numPr>
          <w:ilvl w:val="0"/>
          <w:numId w:val="1004"/>
        </w:numPr>
        <w:pStyle w:val="Compact"/>
      </w:pPr>
      <w:r>
        <w:rPr>
          <w:bCs/>
          <w:b/>
        </w:rPr>
        <w:t xml:space="preserve">Demand for Hybrid Solutions:</w:t>
      </w:r>
      <w:r>
        <w:t xml:space="preserve"> </w:t>
      </w:r>
      <w:r>
        <w:t xml:space="preserve">Post-pandemic, 65% of Amsterdam firms requested cloud-on-premise integration. Our local team delivered customized deployments within 3 weeks – beating industry average by 50%.</w:t>
      </w:r>
    </w:p>
    <w:bookmarkEnd w:id="26"/>
    <w:bookmarkStart w:id="27" w:name="Xe204bd8f455dedc219c1eab126954e99311d1c0"/>
    <w:p>
      <w:pPr>
        <w:pStyle w:val="Heading2"/>
      </w:pPr>
      <w:r>
        <w:t xml:space="preserve">Future Outlook: Netherlands Amsterdam Growth Strategy</w:t>
      </w:r>
    </w:p>
    <w:p>
      <w:pPr>
        <w:pStyle w:val="FirstParagraph"/>
      </w:pPr>
      <w:r>
        <w:t xml:space="preserve">Building on Q1 success, Judge’s Sales Report for the Netherlands Amsterdam market outlines three priority initiatives for H2 2024:</w:t>
      </w:r>
    </w:p>
    <w:p>
      <w:pPr>
        <w:numPr>
          <w:ilvl w:val="0"/>
          <w:numId w:val="1005"/>
        </w:numPr>
        <w:pStyle w:val="Compact"/>
      </w:pPr>
      <w:r>
        <w:rPr>
          <w:bCs/>
          <w:b/>
        </w:rPr>
        <w:t xml:space="preserve">Amsterdam Legal Tech Accelerator Program:</w:t>
      </w:r>
      <w:r>
        <w:t xml:space="preserve"> </w:t>
      </w:r>
      <w:r>
        <w:t xml:space="preserve">Launching a co-innovation fund with Amsterdam University to develop AI-driven solutions for Dutch civil procedure law.</w:t>
      </w:r>
    </w:p>
    <w:p>
      <w:pPr>
        <w:numPr>
          <w:ilvl w:val="0"/>
          <w:numId w:val="1005"/>
        </w:numPr>
        <w:pStyle w:val="Compact"/>
      </w:pPr>
      <w:r>
        <w:rPr>
          <w:bCs/>
          <w:b/>
        </w:rPr>
        <w:t xml:space="preserve">Expansion into Municipal Courts:</w:t>
      </w:r>
      <w:r>
        <w:t xml:space="preserve"> </w:t>
      </w:r>
      <w:r>
        <w:t xml:space="preserve">Targeting all 29 regional Dutch municipalities, with Amsterdam as the pilot city (projected €1.8M revenue in Year 1).</w:t>
      </w:r>
    </w:p>
    <w:bookmarkEnd w:id="27"/>
    <w:bookmarkStart w:id="28" w:name="conclusion"/>
    <w:p>
      <w:pPr>
        <w:pStyle w:val="Heading2"/>
      </w:pPr>
      <w:r>
        <w:t xml:space="preserve">Conclusion</w:t>
      </w:r>
    </w:p>
    <w:p>
      <w:pPr>
        <w:pStyle w:val="FirstParagraph"/>
      </w:pPr>
      <w:r>
        <w:t xml:space="preserve">The Netherlands Amsterdam market remains Judge Group’s most profitable and strategically vital region. Q1 2024 demonstrated how localized execution – anchored in our Amsterdam headquarters – directly fuels growth through compliance mastery, cultural fluency, and rapid response to Dutch legal needs. As the Sales Report confirms, Judge is not merely selling software; we are embedding our platform into the operational DNA of Netherlands' justice system. With 89% of Amsterdam clients planning multi-year contracts and an 84% referral rate within Dutch legal circles, our position as the trusted technology partner for Netherlands courts and firms is unequivocally secured. The trajectory confirms that Judge’s sales strategy in Amsterdam isn’t just successful – it’s setting the benchmark for legal tech adoption across Europe.</w:t>
      </w:r>
    </w:p>
    <w:p>
      <w:pPr>
        <w:pStyle w:val="BodyText"/>
      </w:pPr>
      <w:r>
        <w:rPr>
          <w:bCs/>
          <w:b/>
        </w:rPr>
        <w:t xml:space="preserve">Prepared by: Amsterdam Sales &amp; Strategy Division | Judge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Judge Group - Netherlands Amsterdam Market</dc:title>
  <dc:creator/>
  <dc:language>en</dc:language>
  <cp:keywords/>
  <dcterms:created xsi:type="dcterms:W3CDTF">2026-07-21T16:29:43Z</dcterms:created>
  <dcterms:modified xsi:type="dcterms:W3CDTF">2026-07-21T16:29:43Z</dcterms:modified>
</cp:coreProperties>
</file>

<file path=docProps/custom.xml><?xml version="1.0" encoding="utf-8"?>
<Properties xmlns="http://schemas.openxmlformats.org/officeDocument/2006/custom-properties" xmlns:vt="http://schemas.openxmlformats.org/officeDocument/2006/docPropsVTypes"/>
</file>