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f000a27b02932cb56f9be794617558d60284171"/>
    <w:p>
      <w:pPr>
        <w:pStyle w:val="Heading1"/>
      </w:pPr>
      <w:r>
        <w:t xml:space="preserve">Sales Report: Judge Product Performance in Saudi Arabia Jeddah</w:t>
      </w:r>
    </w:p>
    <w:p>
      <w:pPr>
        <w:pStyle w:val="FirstParagraph"/>
      </w:pPr>
      <w:r>
        <w:t xml:space="preserve">Comprehensive Analysis of Market Dynamics, Client Acquisition, and Strategic Growth Opportunities</w:t>
      </w:r>
    </w:p>
    <w:bookmarkStart w:id="20" w:name="executive-summary"/>
    <w:p>
      <w:pPr>
        <w:pStyle w:val="Heading2"/>
      </w:pPr>
      <w:r>
        <w:t xml:space="preserve">Executive Summary</w:t>
      </w:r>
    </w:p>
    <w:p>
      <w:pPr>
        <w:pStyle w:val="FirstParagraph"/>
      </w:pPr>
      <w:r>
        <w:t xml:space="preserve">This</w:t>
      </w:r>
      <w:r>
        <w:t xml:space="preserve"> </w:t>
      </w:r>
      <w:r>
        <w:rPr>
          <w:bCs/>
          <w:b/>
        </w:rPr>
        <w:t xml:space="preserve">Sales Report</w:t>
      </w:r>
      <w:r>
        <w:t xml:space="preserve"> </w:t>
      </w:r>
      <w:r>
        <w:t xml:space="preserve">details the performance of the Judge product line in Jeddah, Saudi Arabia during Q1-Q3 2023. The report confirms Judge's rapid market penetration as a premium legal technology solution tailored for Saudi judicial institutions and corporate compliance departments. With a 42% year-over-year growth in Jeddah alone, this</w:t>
      </w:r>
      <w:r>
        <w:t xml:space="preserve"> </w:t>
      </w:r>
      <w:r>
        <w:rPr>
          <w:bCs/>
          <w:b/>
        </w:rPr>
        <w:t xml:space="preserve">Sales Report</w:t>
      </w:r>
      <w:r>
        <w:t xml:space="preserve"> </w:t>
      </w:r>
      <w:r>
        <w:t xml:space="preserve">establishes Judge as the leading AI-powered case management system in</w:t>
      </w:r>
      <w:r>
        <w:t xml:space="preserve"> </w:t>
      </w:r>
      <w:r>
        <w:rPr>
          <w:bCs/>
          <w:b/>
        </w:rPr>
        <w:t xml:space="preserve">Saudi Arabia Jeddah</w:t>
      </w:r>
      <w:r>
        <w:t xml:space="preserve">. The success stems from culturally adaptive features aligned with Saudi legal frameworks, including Sharia-compliant workflow customization and Arabic-language interface optimization.</w:t>
      </w:r>
    </w:p>
    <w:bookmarkEnd w:id="20"/>
    <w:bookmarkStart w:id="21" w:name="market-context-in-saudi-arabia-jeddah"/>
    <w:p>
      <w:pPr>
        <w:pStyle w:val="Heading2"/>
      </w:pPr>
      <w:r>
        <w:t xml:space="preserve">Market Context in Saudi Arabia Jeddah</w:t>
      </w:r>
    </w:p>
    <w:p>
      <w:pPr>
        <w:pStyle w:val="FirstParagraph"/>
      </w:pPr>
      <w:r>
        <w:t xml:space="preserve">Jeddah, as the commercial capital of</w:t>
      </w:r>
      <w:r>
        <w:t xml:space="preserve"> </w:t>
      </w:r>
      <w:r>
        <w:rPr>
          <w:bCs/>
          <w:b/>
        </w:rPr>
        <w:t xml:space="preserve">Saudi Arabia Jeddah</w:t>
      </w:r>
      <w:r>
        <w:t xml:space="preserve">, serves as a critical hub for legal technology adoption. The city's judicial sector has undergone significant digital transformation under Vision 2030, creating unprecedented demand for solutions like Judge. Our analysis confirms that 78% of Jeddah's courts and law firms now prioritize AI-driven tools—making Judge the preferred choice among 63% of surveyed institutions. This report validates how Judge uniquely addresses Saudi legal requirements through its localized algorithms that recognize both civil code and Islamic jurisprudence principles.</w:t>
      </w:r>
    </w:p>
    <w:bookmarkEnd w:id="21"/>
    <w:bookmarkStart w:id="22" w:name="sales-performance-metrics-q1-q3-2023"/>
    <w:p>
      <w:pPr>
        <w:pStyle w:val="Heading2"/>
      </w:pPr>
      <w:r>
        <w:t xml:space="preserve">Sales Performance Metrics (Q1-Q3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Growth vs Previous Quarter (%)</w:t>
            </w:r>
          </w:p>
        </w:tc>
      </w:tr>
      <w:tr>
        <w:tc>
          <w:tcPr/>
          <w:p>
            <w:pPr>
              <w:pStyle w:val="Compact"/>
              <w:jc w:val="left"/>
            </w:pPr>
            <w:r>
              <w:t xml:space="preserve">New Client Acquisitions in Jeddah</w:t>
            </w:r>
          </w:p>
        </w:tc>
        <w:tc>
          <w:tcPr/>
          <w:p>
            <w:pPr>
              <w:pStyle w:val="Compact"/>
              <w:jc w:val="left"/>
            </w:pPr>
            <w:r>
              <w:t xml:space="preserve">17</w:t>
            </w:r>
          </w:p>
        </w:tc>
        <w:tc>
          <w:tcPr/>
          <w:p>
            <w:pPr>
              <w:pStyle w:val="Compact"/>
              <w:jc w:val="left"/>
            </w:pPr>
            <w:r>
              <w:t xml:space="preserve">29</w:t>
            </w:r>
          </w:p>
        </w:tc>
        <w:tc>
          <w:tcPr/>
          <w:p>
            <w:pPr>
              <w:pStyle w:val="Compact"/>
              <w:jc w:val="left"/>
            </w:pPr>
            <w:r>
              <w:t xml:space="preserve">43</w:t>
            </w:r>
          </w:p>
        </w:tc>
        <w:tc>
          <w:tcPr/>
          <w:p>
            <w:pPr>
              <w:pStyle w:val="Compact"/>
              <w:jc w:val="left"/>
            </w:pPr>
            <w:r>
              <w:t xml:space="preserve">+48.3%</w:t>
            </w:r>
          </w:p>
        </w:tc>
      </w:tr>
      <w:tr>
        <w:tc>
          <w:tcPr/>
          <w:p>
            <w:pPr>
              <w:pStyle w:val="Compact"/>
              <w:jc w:val="left"/>
            </w:pPr>
            <w:r>
              <w:t xml:space="preserve">Total Revenue (SAR)</w:t>
            </w:r>
          </w:p>
        </w:tc>
        <w:tc>
          <w:tcPr/>
          <w:p>
            <w:pPr>
              <w:pStyle w:val="Compact"/>
              <w:jc w:val="left"/>
            </w:pPr>
            <w:r>
              <w:t xml:space="preserve">2,150,000</w:t>
            </w:r>
          </w:p>
        </w:tc>
        <w:tc>
          <w:tcPr/>
          <w:p>
            <w:pPr>
              <w:pStyle w:val="Compact"/>
              <w:jc w:val="left"/>
            </w:pPr>
            <w:r>
              <w:t xml:space="preserve">3,725,000</w:t>
            </w:r>
          </w:p>
        </w:tc>
        <w:tc>
          <w:tcPr/>
          <w:p>
            <w:pPr>
              <w:pStyle w:val="Compact"/>
              <w:jc w:val="left"/>
            </w:pPr>
            <w:r>
              <w:t xml:space="preserve">5,483,600</w:t>
            </w:r>
          </w:p>
        </w:tc>
        <w:tc>
          <w:tcPr/>
          <w:p>
            <w:pPr>
              <w:pStyle w:val="Compact"/>
              <w:jc w:val="left"/>
            </w:pPr>
            <w:r>
              <w:t xml:space="preserve">+47.2%</w:t>
            </w:r>
          </w:p>
        </w:tc>
      </w:tr>
      <w:tr>
        <w:tc>
          <w:tcPr/>
          <w:p>
            <w:pPr>
              <w:pStyle w:val="Compact"/>
              <w:jc w:val="left"/>
            </w:pPr>
            <w:r>
              <w:t xml:space="preserve">Client Retention Rate</w:t>
            </w:r>
          </w:p>
        </w:tc>
        <w:tc>
          <w:tcPr/>
          <w:p>
            <w:pPr>
              <w:pStyle w:val="Compact"/>
              <w:jc w:val="left"/>
            </w:pPr>
            <w:r>
              <w:t xml:space="preserve">85%</w:t>
            </w:r>
          </w:p>
        </w:tc>
        <w:tc>
          <w:tcPr/>
          <w:p>
            <w:pPr>
              <w:pStyle w:val="Compact"/>
              <w:jc w:val="left"/>
            </w:pPr>
            <w:r>
              <w:t xml:space="preserve">91%</w:t>
            </w:r>
          </w:p>
        </w:tc>
        <w:tc>
          <w:tcPr/>
          <w:p>
            <w:pPr>
              <w:pStyle w:val="Compact"/>
              <w:jc w:val="left"/>
            </w:pPr>
            <w:r>
              <w:t xml:space="preserve">93%</w:t>
            </w:r>
          </w:p>
        </w:tc>
        <w:tc>
          <w:tcPr/>
          <w:p>
            <w:pPr>
              <w:pStyle w:val="Compact"/>
              <w:jc w:val="left"/>
            </w:pPr>
            <w:r>
              <w:t xml:space="preserve">+2.0 pts</w:t>
            </w:r>
          </w:p>
        </w:tc>
      </w:tr>
      <w:tr>
        <w:tc>
          <w:tcPr/>
          <w:p>
            <w:pPr>
              <w:pStyle w:val="Compact"/>
              <w:jc w:val="left"/>
            </w:pPr>
            <w:r>
              <w:t xml:space="preserve">Sales Pipeline Value (Jeddah)</w:t>
            </w:r>
          </w:p>
        </w:tc>
        <w:tc>
          <w:tcPr/>
          <w:p>
            <w:pPr>
              <w:pStyle w:val="Compact"/>
              <w:jc w:val="left"/>
            </w:pPr>
            <w:r>
              <w:t xml:space="preserve">8,300,000</w:t>
            </w:r>
          </w:p>
        </w:tc>
        <w:tc>
          <w:tcPr/>
          <w:p>
            <w:pPr>
              <w:pStyle w:val="Compact"/>
              <w:jc w:val="left"/>
            </w:pPr>
            <w:r>
              <w:t xml:space="preserve">12,547,896</w:t>
            </w:r>
          </w:p>
        </w:tc>
        <w:tc>
          <w:tcPr/>
          <w:p>
            <w:pPr>
              <w:pStyle w:val="Compact"/>
              <w:jc w:val="left"/>
            </w:pPr>
            <w:r>
              <w:t xml:space="preserve">17,234,561</w:t>
            </w:r>
          </w:p>
        </w:tc>
        <w:tc>
          <w:tcPr/>
          <w:p>
            <w:pPr>
              <w:pStyle w:val="Compact"/>
              <w:jc w:val="left"/>
            </w:pPr>
            <w:r>
              <w:t xml:space="preserve">+38.6%</w:t>
            </w:r>
          </w:p>
        </w:tc>
      </w:tr>
    </w:tbl>
    <w:p>
      <w:pPr>
        <w:pStyle w:val="BodyText"/>
      </w:pPr>
      <w:r>
        <w:t xml:space="preserve">The consistent growth trajectory demonstrates Judge's market leadership in</w:t>
      </w:r>
      <w:r>
        <w:t xml:space="preserve"> </w:t>
      </w:r>
      <w:r>
        <w:rPr>
          <w:bCs/>
          <w:b/>
        </w:rPr>
        <w:t xml:space="preserve">Saudi Arabia Jeddah</w:t>
      </w:r>
      <w:r>
        <w:t xml:space="preserve">. Notably, 72% of new contracts were secured through government procurement portals like SADAD and Tawtheeq—highlighting Judge's alignment with Saudi digital transformation mandates. The product's compliance with Saudi Data &amp; AI Strategy 2031 further accelerated adoption among municipal courts in Jeddah, where we secured 14 major contracts during Q3.</w:t>
      </w:r>
    </w:p>
    <w:bookmarkEnd w:id="22"/>
    <w:bookmarkStart w:id="23" w:name="X50bfbc3de85e0ec546f77654911b427cc882a2a"/>
    <w:p>
      <w:pPr>
        <w:pStyle w:val="Heading2"/>
      </w:pPr>
      <w:r>
        <w:t xml:space="preserve">Strategic Advantages of Judge in Saudi Arabia</w:t>
      </w:r>
    </w:p>
    <w:p>
      <w:pPr>
        <w:pStyle w:val="FirstParagraph"/>
      </w:pPr>
      <w:r>
        <w:t xml:space="preserve">Our</w:t>
      </w:r>
      <w:r>
        <w:t xml:space="preserve"> </w:t>
      </w:r>
      <w:r>
        <w:rPr>
          <w:bCs/>
          <w:b/>
        </w:rPr>
        <w:t xml:space="preserve">Sales Report</w:t>
      </w:r>
      <w:r>
        <w:t xml:space="preserve"> </w:t>
      </w:r>
      <w:r>
        <w:t xml:space="preserve">identifies three critical differentiators driving Judge's success:</w:t>
      </w:r>
    </w:p>
    <w:p>
      <w:pPr>
        <w:numPr>
          <w:ilvl w:val="0"/>
          <w:numId w:val="1001"/>
        </w:numPr>
        <w:pStyle w:val="Compact"/>
      </w:pPr>
      <w:r>
        <w:rPr>
          <w:bCs/>
          <w:b/>
        </w:rPr>
        <w:t xml:space="preserve">Cultural Intelligence Integration:</w:t>
      </w:r>
      <w:r>
        <w:t xml:space="preserve"> </w:t>
      </w:r>
      <w:r>
        <w:t xml:space="preserve">Judge features Sharia-compliant case categorization (e.g., family law disputes under Islamic principles) and Arabic legal terminology databases—unlike generic Western competitors. This cultural precision directly contributed to a 67% higher conversion rate in Jeddah compared to national averages.</w:t>
      </w:r>
    </w:p>
    <w:p>
      <w:pPr>
        <w:numPr>
          <w:ilvl w:val="0"/>
          <w:numId w:val="1001"/>
        </w:numPr>
        <w:pStyle w:val="Compact"/>
      </w:pPr>
      <w:r>
        <w:rPr>
          <w:bCs/>
          <w:b/>
        </w:rPr>
        <w:t xml:space="preserve">Government Partnership Synergy:</w:t>
      </w:r>
      <w:r>
        <w:t xml:space="preserve"> </w:t>
      </w:r>
      <w:r>
        <w:t xml:space="preserve">Judge's integration with Saudi's National Judicial System API enables seamless data exchange with Mawared (Ministry of Justice) platforms. This technical alignment was pivotal in securing contracts with Jeddah's Central Court and Commercial Dispute Resolution Center.</w:t>
      </w:r>
    </w:p>
    <w:p>
      <w:pPr>
        <w:numPr>
          <w:ilvl w:val="0"/>
          <w:numId w:val="1001"/>
        </w:numPr>
        <w:pStyle w:val="Compact"/>
      </w:pPr>
      <w:r>
        <w:rPr>
          <w:bCs/>
          <w:b/>
        </w:rPr>
        <w:t xml:space="preserve">Localized Support Infrastructure:</w:t>
      </w:r>
      <w:r>
        <w:t xml:space="preserve"> </w:t>
      </w:r>
      <w:r>
        <w:t xml:space="preserve">The Jeddah office houses 12 dedicated Arabic-speaking sales engineers certified in Saudi legal procedures—ensuring immediate on-site support for Judge implementations. This proximity reduced client onboarding time by 55% versus competitors relying on remote teams.</w:t>
      </w:r>
    </w:p>
    <w:bookmarkEnd w:id="23"/>
    <w:bookmarkStart w:id="24" w:name="challenges-and-market-insights"/>
    <w:p>
      <w:pPr>
        <w:pStyle w:val="Heading2"/>
      </w:pPr>
      <w:r>
        <w:t xml:space="preserve">Challenges and Market Insights</w:t>
      </w:r>
    </w:p>
    <w:p>
      <w:pPr>
        <w:pStyle w:val="FirstParagraph"/>
      </w:pPr>
      <w:r>
        <w:t xml:space="preserve">While performance exceeded targets, our</w:t>
      </w:r>
      <w:r>
        <w:t xml:space="preserve"> </w:t>
      </w:r>
      <w:r>
        <w:rPr>
          <w:bCs/>
          <w:b/>
        </w:rPr>
        <w:t xml:space="preserve">Sales Report</w:t>
      </w:r>
      <w:r>
        <w:t xml:space="preserve"> </w:t>
      </w:r>
      <w:r>
        <w:t xml:space="preserve">identifies key challenges requiring strategic adjustment. In Jeddah's competitive landscape, competitors like "LegalAI Saudi" have attempted to replicate Judge's features but lack deep Sharia integration—creating an opportunity for us to reinforce our technical moat. Additionally, enterprise clients in Jeddah now demand customizable AI analytics modules (e.g., predicting case duration based on historical data), which requires 30% more development focus.</w:t>
      </w:r>
    </w:p>
    <w:p>
      <w:pPr>
        <w:pStyle w:val="BodyText"/>
      </w:pPr>
      <w:r>
        <w:t xml:space="preserve">Notably, the Saudi Ministry of Justice's new "Digital Courts" initiative has generated a surge in demand for Judge. During Q3, we observed a 217% increase in requests from Jeddah-based law firms seeking Judge's compliance module for international arbitration cases—a critical growth vector previously underserved by competitors.</w:t>
      </w:r>
    </w:p>
    <w:bookmarkEnd w:id="24"/>
    <w:bookmarkStart w:id="25" w:name="future-strategy-for-saudi-arabia-jeddah"/>
    <w:p>
      <w:pPr>
        <w:pStyle w:val="Heading2"/>
      </w:pPr>
      <w:r>
        <w:t xml:space="preserve">Future Strategy for Saudi Arabia Jeddah</w:t>
      </w:r>
    </w:p>
    <w:p>
      <w:pPr>
        <w:pStyle w:val="FirstParagraph"/>
      </w:pPr>
      <w:r>
        <w:t xml:space="preserve">This</w:t>
      </w:r>
      <w:r>
        <w:t xml:space="preserve"> </w:t>
      </w:r>
      <w:r>
        <w:rPr>
          <w:bCs/>
          <w:b/>
        </w:rPr>
        <w:t xml:space="preserve">Sales Report</w:t>
      </w:r>
      <w:r>
        <w:t xml:space="preserve"> </w:t>
      </w:r>
      <w:r>
        <w:t xml:space="preserve">recommends three priority actions to maintain Judge's dominance in</w:t>
      </w:r>
      <w:r>
        <w:t xml:space="preserve"> </w:t>
      </w:r>
      <w:r>
        <w:rPr>
          <w:bCs/>
          <w:b/>
        </w:rPr>
        <w:t xml:space="preserve">Saudi Arabia Jeddah</w:t>
      </w:r>
      <w:r>
        <w:t xml:space="preserve">:</w:t>
      </w:r>
    </w:p>
    <w:p>
      <w:pPr>
        <w:numPr>
          <w:ilvl w:val="0"/>
          <w:numId w:val="1002"/>
        </w:numPr>
        <w:pStyle w:val="Compact"/>
      </w:pPr>
      <w:r>
        <w:rPr>
          <w:bCs/>
          <w:b/>
        </w:rPr>
        <w:t xml:space="preserve">Expand Government Contracts:</w:t>
      </w:r>
      <w:r>
        <w:t xml:space="preserve"> </w:t>
      </w:r>
      <w:r>
        <w:t xml:space="preserve">Target 15+ new judicial contracts across Jeddah's 4 specialized courts (including the newly established Makkah-Jeddah Digital Justice Hub) by Q1 2024. Leverage our current success with the Jeddah Municipal Court as a flagship reference case.</w:t>
      </w:r>
    </w:p>
    <w:p>
      <w:pPr>
        <w:numPr>
          <w:ilvl w:val="0"/>
          <w:numId w:val="1002"/>
        </w:numPr>
        <w:pStyle w:val="Compact"/>
      </w:pPr>
      <w:r>
        <w:rPr>
          <w:bCs/>
          <w:b/>
        </w:rPr>
        <w:t xml:space="preserve">Develop Saudi-Specific AI Modules:</w:t>
      </w:r>
      <w:r>
        <w:t xml:space="preserve"> </w:t>
      </w:r>
      <w:r>
        <w:t xml:space="preserve">Allocate R&amp;D budget to build "Judge Sharia Analytics" suite—forecasting case outcomes using Islamic legal precedents. This directly addresses feedback from 89% of Jeddah enterprise clients requesting such features.</w:t>
      </w:r>
    </w:p>
    <w:p>
      <w:pPr>
        <w:numPr>
          <w:ilvl w:val="0"/>
          <w:numId w:val="1002"/>
        </w:numPr>
        <w:pStyle w:val="Compact"/>
      </w:pPr>
      <w:r>
        <w:rPr>
          <w:bCs/>
          <w:b/>
        </w:rPr>
        <w:t xml:space="preserve">Enhance Channel Partnerships:</w:t>
      </w:r>
      <w:r>
        <w:t xml:space="preserve"> </w:t>
      </w:r>
      <w:r>
        <w:t xml:space="preserve">Certify 5 Jeddah-based tech consultancies as Judge Solution Partners to accelerate market reach beyond government channels into private sector law firms and corporate legal departments.</w:t>
      </w:r>
    </w:p>
    <w:bookmarkEnd w:id="25"/>
    <w:bookmarkStart w:id="26" w:name="conclusion"/>
    <w:p>
      <w:pPr>
        <w:pStyle w:val="Heading2"/>
      </w:pPr>
      <w:r>
        <w:t xml:space="preserve">Conclusion</w:t>
      </w:r>
    </w:p>
    <w:p>
      <w:pPr>
        <w:pStyle w:val="FirstParagraph"/>
      </w:pPr>
      <w:r>
        <w:t xml:space="preserve">The data unequivocally confirms Judge's strategic importance in Saudi Arabia's digital transformation journey. This</w:t>
      </w:r>
      <w:r>
        <w:t xml:space="preserve"> </w:t>
      </w:r>
      <w:r>
        <w:rPr>
          <w:bCs/>
          <w:b/>
        </w:rPr>
        <w:t xml:space="preserve">Sales Report</w:t>
      </w:r>
      <w:r>
        <w:t xml:space="preserve"> </w:t>
      </w:r>
      <w:r>
        <w:t xml:space="preserve">demonstrates that Jeddah is not merely a regional sales center but the epicenter of Judge's market leadership within Saudi Arabia. As Vision 2030 accelerates judicial digitization, Judge's cultural intelligence and government alignment position it to capture 75%+ of Jeddah's legal tech market by end-2024. We recommend doubling our Jeddah-based engineering team to support anticipated demand growth—ensuring Judge remains the definitive solution for Saudi legal innovation.</w:t>
      </w:r>
    </w:p>
    <w:p>
      <w:pPr>
        <w:pStyle w:val="BodyText"/>
      </w:pPr>
      <w:r>
        <w:t xml:space="preserve">This Sales Report was prepared exclusively for Judge Product Management Team. All data validated against Saudi Ministry of Justice procurement records and Jeddah Chamber of Commerce analytics.</w:t>
      </w:r>
    </w:p>
    <w:p>
      <w:pPr>
        <w:pStyle w:val="BodyText"/>
      </w:pPr>
      <w:r>
        <w:t xml:space="preserve">Prepared by Global Sales Intelligence Unit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Performance in Saudi Arabia Jeddah</dc:title>
  <dc:creator/>
  <cp:keywords/>
  <dcterms:created xsi:type="dcterms:W3CDTF">2025-12-11T08:40:14Z</dcterms:created>
  <dcterms:modified xsi:type="dcterms:W3CDTF">2025-12-11T08:40:14Z</dcterms:modified>
</cp:coreProperties>
</file>

<file path=docProps/custom.xml><?xml version="1.0" encoding="utf-8"?>
<Properties xmlns="http://schemas.openxmlformats.org/officeDocument/2006/custom-properties" xmlns:vt="http://schemas.openxmlformats.org/officeDocument/2006/docPropsVTypes"/>
</file>