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Brand</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X41186d2acdd708f0b3f1acec2af032ffe72b9ff"/>
    <w:p>
      <w:pPr>
        <w:pStyle w:val="Heading1"/>
      </w:pPr>
      <w:r>
        <w:t xml:space="preserve">ANNUAL SALES REPORT: JUDGE BRAND PERFORMANCE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Judge International Holdings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exceptional market performance of the Judge brand across the United Arab Emirates Dubai territory during fiscal year 2023. As a premium technology solutions provider, Judge has achieved unprecedented growth in Dubai, establishing itself as a market leader in smart security systems and enterprise software. The report demonstrates how strategic localization efforts combined with unwavering commitment to quality have positioned Judge for sustainable dominance within the UAE's rapidly evolving business landscape.</w:t>
      </w:r>
    </w:p>
    <w:bookmarkEnd w:id="20"/>
    <w:bookmarkStart w:id="21" w:name="key-sales-performance-metrics"/>
    <w:p>
      <w:pPr>
        <w:pStyle w:val="Heading2"/>
      </w:pPr>
      <w:r>
        <w:t xml:space="preserve">Key Sales Performance Metrics</w:t>
      </w:r>
    </w:p>
    <w:p>
      <w:pPr>
        <w:pStyle w:val="FirstParagraph"/>
      </w:pPr>
      <w:r>
        <w:t xml:space="preserve">Performance Indicator</w:t>
      </w:r>
    </w:p>
    <w:p>
      <w:pPr>
        <w:pStyle w:val="BodyText"/>
      </w:pPr>
      <w:r>
        <w:t xml:space="preserve">2023 Actual</w:t>
      </w:r>
    </w:p>
    <w:p>
      <w:pPr>
        <w:pStyle w:val="BodyText"/>
      </w:pPr>
      <w:r>
        <w:t xml:space="preserve">2022 Actual</w:t>
      </w:r>
    </w:p>
    <w:p>
      <w:pPr>
        <w:pStyle w:val="BodyText"/>
      </w:pPr>
      <w:r>
        <w:t xml:space="preserve">Growth Rate</w:t>
      </w:r>
    </w:p>
    <w:p>
      <w:pPr>
        <w:pStyle w:val="BodyText"/>
      </w:pPr>
      <w:r>
        <w:t xml:space="preserve">Total Revenue (AED)</w:t>
      </w:r>
    </w:p>
    <w:p>
      <w:pPr>
        <w:pStyle w:val="BodyText"/>
      </w:pPr>
      <w:r>
        <w:t xml:space="preserve">187,500,000</w:t>
      </w:r>
    </w:p>
    <w:p>
      <w:pPr>
        <w:pStyle w:val="BodyText"/>
      </w:pPr>
      <w:r>
        <w:t xml:space="preserve">114,350,000</w:t>
      </w:r>
    </w:p>
    <w:p>
      <w:pPr>
        <w:pStyle w:val="BodyText"/>
      </w:pPr>
      <w:r>
        <w:t xml:space="preserve">63.9%</w:t>
      </w:r>
    </w:p>
    <w:p>
      <w:pPr>
        <w:pStyle w:val="BodyText"/>
      </w:pPr>
      <w:r>
        <w:t xml:space="preserve">New Enterprise Clients Acquired</w:t>
      </w:r>
    </w:p>
    <w:p>
      <w:pPr>
        <w:pStyle w:val="BodyText"/>
      </w:pPr>
      <w:r>
        <w:t xml:space="preserve">87</w:t>
      </w:r>
    </w:p>
    <w:p>
      <w:pPr>
        <w:pStyle w:val="BodyText"/>
      </w:pPr>
      <w:r>
        <w:t xml:space="preserve">42</w:t>
      </w:r>
    </w:p>
    <w:p>
      <w:pPr>
        <w:pStyle w:val="BodyText"/>
      </w:pPr>
      <w:r>
        <w:t xml:space="preserve">107.1%</w:t>
      </w:r>
    </w:p>
    <w:p>
      <w:pPr>
        <w:pStyle w:val="BodyText"/>
      </w:pPr>
      <w:r>
        <w:t xml:space="preserve">Market Share in Dubai Security Sector</w:t>
      </w:r>
    </w:p>
    <w:p>
      <w:pPr>
        <w:pStyle w:val="BodyText"/>
      </w:pPr>
      <w:r>
        <w:t xml:space="preserve">34.7%</w:t>
      </w:r>
    </w:p>
    <w:p>
      <w:pPr>
        <w:pStyle w:val="BodyText"/>
      </w:pPr>
      <w:r>
        <w:t xml:space="preserve">22.3%</w:t>
      </w:r>
    </w:p>
    <w:p>
      <w:pPr>
        <w:pStyle w:val="BodyText"/>
      </w:pPr>
      <w:r>
        <w:t xml:space="preserve">55.6%</w:t>
      </w:r>
    </w:p>
    <w:p>
      <w:pPr>
        <w:pStyle w:val="BodyText"/>
      </w:pPr>
      <w:r>
        <w:t xml:space="preserve">Customer Retention Rate</w:t>
      </w:r>
    </w:p>
    <w:p>
      <w:pPr>
        <w:pStyle w:val="BodyText"/>
      </w:pPr>
      <w:r>
        <w:t xml:space="preserve">92.4%</w:t>
      </w:r>
    </w:p>
    <w:p>
      <w:pPr>
        <w:pStyle w:val="BodyText"/>
      </w:pPr>
      <w:r>
        <w:t xml:space="preserve">86.1%</w:t>
      </w:r>
    </w:p>
    <w:p>
      <w:pPr>
        <w:pStyle w:val="BodyText"/>
      </w:pPr>
      <w:r>
        <w:t xml:space="preserve">+6.3 pts</w:t>
      </w:r>
    </w:p>
    <w:bookmarkEnd w:id="21"/>
    <w:bookmarkStart w:id="24" w:name="major-growth-drivers-in-dubai-market"/>
    <w:p>
      <w:pPr>
        <w:pStyle w:val="Heading2"/>
      </w:pPr>
      <w:r>
        <w:t xml:space="preserve">Major Growth Drivers in Dubai Market</w:t>
      </w:r>
    </w:p>
    <w:bookmarkStart w:id="22" w:name="strategic-localization-initiatives"/>
    <w:p>
      <w:pPr>
        <w:pStyle w:val="Heading3"/>
      </w:pPr>
      <w:r>
        <w:t xml:space="preserve">Strategic Localization Initiatives</w:t>
      </w:r>
    </w:p>
    <w:p>
      <w:pPr>
        <w:pStyle w:val="FirstParagraph"/>
      </w:pPr>
      <w:r>
        <w:t xml:space="preserve">The Judge brand's success in United Arab Emirates Dubai stems from our deliberate adaptation to local business culture and regulatory requirements. Our Dubai office implemented the following critical strategies:</w:t>
      </w:r>
    </w:p>
    <w:p>
      <w:pPr>
        <w:numPr>
          <w:ilvl w:val="0"/>
          <w:numId w:val="1001"/>
        </w:numPr>
        <w:pStyle w:val="Compact"/>
      </w:pPr>
      <w:r>
        <w:rPr>
          <w:bCs/>
          <w:b/>
        </w:rPr>
        <w:t xml:space="preserve">Arabic Language Integration:</w:t>
      </w:r>
      <w:r>
        <w:t xml:space="preserve"> </w:t>
      </w:r>
      <w:r>
        <w:t xml:space="preserve">All customer-facing materials, software interfaces, and technical support now offer full Arabic language support—eliminating communication barriers for 98% of UAE businesses.</w:t>
      </w:r>
    </w:p>
    <w:p>
      <w:pPr>
        <w:numPr>
          <w:ilvl w:val="0"/>
          <w:numId w:val="1001"/>
        </w:numPr>
        <w:pStyle w:val="Compact"/>
      </w:pPr>
      <w:r>
        <w:rPr>
          <w:bCs/>
          <w:b/>
        </w:rPr>
        <w:t xml:space="preserve">Nationalization Programs:</w:t>
      </w:r>
      <w:r>
        <w:t xml:space="preserve"> </w:t>
      </w:r>
      <w:r>
        <w:t xml:space="preserve">We achieved 75% Emirati workforce representation in sales and technical roles through partnerships with Dubai Government's "Emiratization" initiatives, building deep market trust.</w:t>
      </w:r>
    </w:p>
    <w:p>
      <w:pPr>
        <w:numPr>
          <w:ilvl w:val="0"/>
          <w:numId w:val="1001"/>
        </w:numPr>
        <w:pStyle w:val="Compact"/>
      </w:pPr>
      <w:r>
        <w:rPr>
          <w:bCs/>
          <w:b/>
        </w:rPr>
        <w:t xml:space="preserve">Compliance Alignment:</w:t>
      </w:r>
      <w:r>
        <w:t xml:space="preserve"> </w:t>
      </w:r>
      <w:r>
        <w:t xml:space="preserve">Judge solutions were certified for UAE Data Protection Law (UDPL) and Dubai International Financial Centre (DIFC) standards ahead of competitors.</w:t>
      </w:r>
    </w:p>
    <w:bookmarkEnd w:id="22"/>
    <w:bookmarkStart w:id="23" w:name="high-value-enterprise-solutions"/>
    <w:p>
      <w:pPr>
        <w:pStyle w:val="Heading3"/>
      </w:pPr>
      <w:r>
        <w:t xml:space="preserve">High-Value Enterprise Solutions</w:t>
      </w:r>
    </w:p>
    <w:p>
      <w:pPr>
        <w:pStyle w:val="FirstParagraph"/>
      </w:pPr>
      <w:r>
        <w:t xml:space="preserve">The Dubai market demonstrated exceptional demand for Judge's flagship security ecosystem:</w:t>
      </w:r>
    </w:p>
    <w:p>
      <w:pPr>
        <w:numPr>
          <w:ilvl w:val="0"/>
          <w:numId w:val="1002"/>
        </w:numPr>
        <w:pStyle w:val="Compact"/>
      </w:pPr>
      <w:r>
        <w:rPr>
          <w:bCs/>
          <w:b/>
        </w:rPr>
        <w:t xml:space="preserve">Smart City Integration:</w:t>
      </w:r>
      <w:r>
        <w:t xml:space="preserve"> </w:t>
      </w:r>
      <w:r>
        <w:t xml:space="preserve">42% of revenue came from contracts with Dubai Smart City and Government entities, including the award-winning Judge Cloud Security Platform implemented across 12 government facilities.</w:t>
      </w:r>
    </w:p>
    <w:p>
      <w:pPr>
        <w:numPr>
          <w:ilvl w:val="0"/>
          <w:numId w:val="1002"/>
        </w:numPr>
        <w:pStyle w:val="Compact"/>
      </w:pPr>
      <w:r>
        <w:rPr>
          <w:bCs/>
          <w:b/>
        </w:rPr>
        <w:t xml:space="preserve">Commercial Real Estate Partnerships:</w:t>
      </w:r>
      <w:r>
        <w:t xml:space="preserve"> </w:t>
      </w:r>
      <w:r>
        <w:t xml:space="preserve">Judge secured landmark agreements with major developers (including Emaar and DAMAC) to integrate security systems in 23 new luxury residential towers across Downtown Dubai and Palm Jumeirah.</w:t>
      </w:r>
    </w:p>
    <w:p>
      <w:pPr>
        <w:numPr>
          <w:ilvl w:val="0"/>
          <w:numId w:val="1002"/>
        </w:numPr>
        <w:pStyle w:val="Compact"/>
      </w:pPr>
      <w:r>
        <w:rPr>
          <w:bCs/>
          <w:b/>
        </w:rPr>
        <w:t xml:space="preserve">Financial Sector Adoption:</w:t>
      </w:r>
      <w:r>
        <w:t xml:space="preserve"> </w:t>
      </w:r>
      <w:r>
        <w:t xml:space="preserve">The Judge Compliance Suite gained traction with 18 Dubai-based financial institutions, including regional branches of HSBC and Standard Chartered, driving a 300% increase in fintech-related sales.</w:t>
      </w:r>
    </w:p>
    <w:bookmarkEnd w:id="23"/>
    <w:bookmarkEnd w:id="24"/>
    <w:bookmarkStart w:id="28" w:name="dubai-specific-market-insights"/>
    <w:p>
      <w:pPr>
        <w:pStyle w:val="Heading2"/>
      </w:pPr>
      <w:r>
        <w:t xml:space="preserve">Dubai-Specific Market Insights</w:t>
      </w:r>
    </w:p>
    <w:p>
      <w:pPr>
        <w:pStyle w:val="FirstParagraph"/>
      </w:pPr>
      <w:r>
        <w:t xml:space="preserve">Our analysis reveals three critical market dynamics influencing Judge's growth trajectory in United Arab Emirates Dubai:</w:t>
      </w:r>
    </w:p>
    <w:bookmarkStart w:id="25" w:name="government-driven-digital-transformation"/>
    <w:p>
      <w:pPr>
        <w:pStyle w:val="Heading3"/>
      </w:pPr>
      <w:r>
        <w:t xml:space="preserve">1. Government-Driven Digital Transformation</w:t>
      </w:r>
    </w:p>
    <w:p>
      <w:pPr>
        <w:pStyle w:val="FirstParagraph"/>
      </w:pPr>
      <w:r>
        <w:t xml:space="preserve">The UAE's National Strategy for Artificial Intelligence 2031 and Dubai's Smart City initiative created a perfect storm for Judge solutions. We leveraged our participation in the "Dubai Future Accelerators" program to co-develop AI-powered security analytics that directly align with government objectives, resulting in a 45% revenue increase from public sector contracts.</w:t>
      </w:r>
    </w:p>
    <w:bookmarkEnd w:id="25"/>
    <w:bookmarkStart w:id="26" w:name="luxury-market-premiumization"/>
    <w:p>
      <w:pPr>
        <w:pStyle w:val="Heading3"/>
      </w:pPr>
      <w:r>
        <w:t xml:space="preserve">2. Luxury Market Premiumization</w:t>
      </w:r>
    </w:p>
    <w:p>
      <w:pPr>
        <w:pStyle w:val="FirstParagraph"/>
      </w:pPr>
      <w:r>
        <w:t xml:space="preserve">Dubai's luxury real estate and hospitality sectors demonstrated willingness to pay premium for Judge's "Elite Security Suite," which features biometric access control and predictive threat analytics. This segment accounted for 38% of total profit margins in 2023, significantly outperforming regional benchmarks.</w:t>
      </w:r>
    </w:p>
    <w:bookmarkEnd w:id="26"/>
    <w:bookmarkStart w:id="27" w:name="regional-expansion-catalyst"/>
    <w:p>
      <w:pPr>
        <w:pStyle w:val="Heading3"/>
      </w:pPr>
      <w:r>
        <w:t xml:space="preserve">3. Regional Expansion Catalyst</w:t>
      </w:r>
    </w:p>
    <w:p>
      <w:pPr>
        <w:pStyle w:val="FirstParagraph"/>
      </w:pPr>
      <w:r>
        <w:t xml:space="preserve">Dubai's position as the UAE's commercial hub transformed Judge into a gateway for Middle East expansion. 67% of non-Dubai Gulf contracts originated from Dubai-based client referrals, proving our market leadership drives broader regional influence.</w:t>
      </w:r>
    </w:p>
    <w:bookmarkEnd w:id="27"/>
    <w:bookmarkEnd w:id="28"/>
    <w:bookmarkStart w:id="31" w:name="challenges-and-strategic-responses"/>
    <w:p>
      <w:pPr>
        <w:pStyle w:val="Heading2"/>
      </w:pPr>
      <w:r>
        <w:t xml:space="preserve">Challenges and Strategic Responses</w:t>
      </w:r>
    </w:p>
    <w:p>
      <w:pPr>
        <w:pStyle w:val="FirstParagraph"/>
      </w:pPr>
      <w:r>
        <w:t xml:space="preserve">Despite remarkable growth, we navigated two significant challenges:</w:t>
      </w:r>
    </w:p>
    <w:bookmarkStart w:id="29" w:name="Xcdc5d1415cfa7ccb02208c7d8e23bf7831e87da"/>
    <w:p>
      <w:pPr>
        <w:pStyle w:val="Heading3"/>
      </w:pPr>
      <w:r>
        <w:t xml:space="preserve">Challenge: Talent Shortage in Cybersecurity Specialization</w:t>
      </w:r>
    </w:p>
    <w:p>
      <w:pPr>
        <w:pStyle w:val="FirstParagraph"/>
      </w:pPr>
      <w:r>
        <w:rPr>
          <w:bCs/>
          <w:b/>
        </w:rPr>
        <w:t xml:space="preserve">Action Taken:</w:t>
      </w:r>
      <w:r>
        <w:t xml:space="preserve"> </w:t>
      </w:r>
      <w:r>
        <w:t xml:space="preserve">Partnered with Dubai Technical and Vocational Education Institute (DTEVI) to create a Judge-certified cybersecurity training program, resulting in 42 new locally trained specialists for our Dubai operations.</w:t>
      </w:r>
    </w:p>
    <w:bookmarkEnd w:id="29"/>
    <w:bookmarkStart w:id="30" w:name="Xda41d315d9014bfb9b1918bf349a30fef880860"/>
    <w:p>
      <w:pPr>
        <w:pStyle w:val="Heading3"/>
      </w:pPr>
      <w:r>
        <w:t xml:space="preserve">Challenge: Intense Competition from Regional Players</w:t>
      </w:r>
    </w:p>
    <w:p>
      <w:pPr>
        <w:pStyle w:val="FirstParagraph"/>
      </w:pPr>
      <w:r>
        <w:rPr>
          <w:bCs/>
          <w:b/>
        </w:rPr>
        <w:t xml:space="preserve">Action Taken:</w:t>
      </w:r>
      <w:r>
        <w:t xml:space="preserve"> </w:t>
      </w:r>
      <w:r>
        <w:t xml:space="preserve">Launched the "Judge Dubai Advantage" program offering 18 months of free AI-enhanced analytics modules with all enterprise contracts, differentiating us from competitors' transactional approaches.</w:t>
      </w:r>
    </w:p>
    <w:bookmarkEnd w:id="30"/>
    <w:bookmarkEnd w:id="31"/>
    <w:bookmarkStart w:id="32" w:name="future-outlook-strategic-growth-roadmap"/>
    <w:p>
      <w:pPr>
        <w:pStyle w:val="Heading2"/>
      </w:pPr>
      <w:r>
        <w:t xml:space="preserve">Future Outlook: Strategic Growth Roadmap</w:t>
      </w:r>
    </w:p>
    <w:p>
      <w:pPr>
        <w:pStyle w:val="FirstParagraph"/>
      </w:pPr>
      <w:r>
        <w:t xml:space="preserve">The Sales Report indicates robust momentum for Judge in United Arab Emirates Dubai. Our 2024 growth strategy focuses on three pillars:</w:t>
      </w:r>
    </w:p>
    <w:p>
      <w:pPr>
        <w:numPr>
          <w:ilvl w:val="0"/>
          <w:numId w:val="1003"/>
        </w:numPr>
        <w:pStyle w:val="Compact"/>
      </w:pPr>
      <w:r>
        <w:rPr>
          <w:bCs/>
          <w:b/>
        </w:rPr>
        <w:t xml:space="preserve">AI-Powered Innovation:</w:t>
      </w:r>
      <w:r>
        <w:t xml:space="preserve"> </w:t>
      </w:r>
      <w:r>
        <w:t xml:space="preserve">Development of Judge's "Nexus AI" platform tailored for Dubai's unique security challenges, with pilot deployment planned at Expo City 2025.</w:t>
      </w:r>
    </w:p>
    <w:p>
      <w:pPr>
        <w:numPr>
          <w:ilvl w:val="0"/>
          <w:numId w:val="1003"/>
        </w:numPr>
        <w:pStyle w:val="Compact"/>
      </w:pPr>
      <w:r>
        <w:rPr>
          <w:bCs/>
          <w:b/>
        </w:rPr>
        <w:t xml:space="preserve">Sustainability Integration:</w:t>
      </w:r>
      <w:r>
        <w:t xml:space="preserve"> </w:t>
      </w:r>
      <w:r>
        <w:t xml:space="preserve">Launching energy-efficient Judge systems to align with Dubai Carbon Neutrality Strategy 2050, targeting a new revenue stream in green technology solutions.</w:t>
      </w:r>
    </w:p>
    <w:p>
      <w:pPr>
        <w:numPr>
          <w:ilvl w:val="0"/>
          <w:numId w:val="1003"/>
        </w:numPr>
        <w:pStyle w:val="Compact"/>
      </w:pPr>
      <w:r>
        <w:rPr>
          <w:bCs/>
          <w:b/>
        </w:rPr>
        <w:t xml:space="preserve">Dubai Hub Expansion:</w:t>
      </w:r>
      <w:r>
        <w:t xml:space="preserve"> </w:t>
      </w:r>
      <w:r>
        <w:t xml:space="preserve">Establishing a dedicated UAE R&amp;D center in Dubai Science Park to accelerate localization and create 150+ high-value jobs by Q4 2024.</w:t>
      </w:r>
    </w:p>
    <w:bookmarkEnd w:id="32"/>
    <w:bookmarkStart w:id="33" w:name="conclusion"/>
    <w:p>
      <w:pPr>
        <w:pStyle w:val="Heading2"/>
      </w:pPr>
      <w:r>
        <w:t xml:space="preserve">Conclusion</w:t>
      </w:r>
    </w:p>
    <w:p>
      <w:pPr>
        <w:pStyle w:val="FirstParagraph"/>
      </w:pPr>
      <w:r>
        <w:t xml:space="preserve">This Sales Report unequivocally demonstrates Judge's transformation from a global technology player to an indispensable Dubai business partner. The United Arab Emirates Dubai market has become our most profitable and strategic territory, contributing 57% of total international revenue with exceptional growth potential. Our deep integration into Dubai's economic fabric—through Emirati talent development, government collaboration, and cultural adaptation—has positioned Judge for sustained leadership in the region.</w:t>
      </w:r>
    </w:p>
    <w:p>
      <w:pPr>
        <w:pStyle w:val="BodyText"/>
      </w:pPr>
      <w:r>
        <w:t xml:space="preserve">As we enter 2024, Judge's commitment to the United Arab Emirates Dubai market remains unwavering. We are not merely selling technology; we are embedding ourselves into Dubai's security ecosystem as a trusted partner in safeguarding its visionary future. The results of this Sales Report confirm that Judge has not only captured the market—it has redefined it.</w:t>
      </w:r>
    </w:p>
    <w:p>
      <w:pPr>
        <w:pStyle w:val="BodyText"/>
      </w:pPr>
      <w:r>
        <w:rPr>
          <w:bCs/>
          <w:b/>
        </w:rPr>
        <w:t xml:space="preserve">Prepared By:</w:t>
      </w:r>
      <w:r>
        <w:t xml:space="preserve"> </w:t>
      </w:r>
      <w:r>
        <w:t xml:space="preserve">Ahmed Al-Mansoori, Director of Middle East Sales</w:t>
      </w:r>
      <w:r>
        <w:br/>
      </w:r>
      <w:r>
        <w:rPr>
          <w:bCs/>
          <w:b/>
        </w:rPr>
        <w:t xml:space="preserve">Judge International Holdings | Dubai Office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Brand in United Arab Emirates Dubai</dc:title>
  <dc:creator/>
  <dc:language>en</dc:language>
  <cp:keywords/>
  <dcterms:created xsi:type="dcterms:W3CDTF">2026-07-24T22:29:27Z</dcterms:created>
  <dcterms:modified xsi:type="dcterms:W3CDTF">2026-07-24T22:29:27Z</dcterms:modified>
</cp:coreProperties>
</file>

<file path=docProps/custom.xml><?xml version="1.0" encoding="utf-8"?>
<Properties xmlns="http://schemas.openxmlformats.org/officeDocument/2006/custom-properties" xmlns:vt="http://schemas.openxmlformats.org/officeDocument/2006/docPropsVTypes"/>
</file>