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e14858e2162a8aef5d6dc1dc849ff3bea8dc9d9"/>
    <w:p>
      <w:pPr>
        <w:pStyle w:val="Heading1"/>
      </w:pPr>
      <w:r>
        <w:t xml:space="preserve">Comprehensive Sales Report: Judge Product Performance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r>
        <w:br/>
      </w:r>
      <w:r>
        <w:rPr>
          <w:bCs/>
          <w:b/>
        </w:rPr>
        <w:t xml:space="preserve">Coverage Area:</w:t>
      </w:r>
      <w:r>
        <w:t xml:space="preserve"> </w:t>
      </w:r>
      <w:r>
        <w:t xml:space="preserve">United States New York City Metropolitan Region</w:t>
      </w:r>
    </w:p>
    <w:bookmarkStart w:id="20" w:name="i.-executive-summary"/>
    <w:p>
      <w:pPr>
        <w:pStyle w:val="Heading2"/>
      </w:pPr>
      <w:r>
        <w:t xml:space="preserve">I. Executive Summary</w:t>
      </w:r>
    </w:p>
    <w:p>
      <w:pPr>
        <w:pStyle w:val="FirstParagraph"/>
      </w:pPr>
      <w:r>
        <w:t xml:space="preserve">This Sales Report details the performance of the innovative "Judge" product line across the United States New York City market during Q3 2023. The Judge platform—designed for streamlined legal case management and judicial workflow optimization—has achieved remarkable traction within NYC's complex legal ecosystem. Following unprecedented demand in Q1-Q2, our sales team secured a 37% year-over-year growth in the New York City marketplace, solidifying Judge's position as the market leader in judicial technology solutions. This report demonstrates how Judge has become indispensable to over 128 municipal courts and law firms across United States New York City through its tailored functionality and regulatory compliance framework.</w:t>
      </w:r>
    </w:p>
    <w:bookmarkEnd w:id="20"/>
    <w:bookmarkStart w:id="21" w:name="X02081ea12e447cfaa36c017591a431cd8991664"/>
    <w:p>
      <w:pPr>
        <w:pStyle w:val="Heading2"/>
      </w:pPr>
      <w:r>
        <w:t xml:space="preserve">II. Key Sales Metrics: United States New York City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Growth</w:t>
            </w:r>
          </w:p>
        </w:tc>
      </w:tr>
      <w:tr>
        <w:tc>
          <w:tcPr/>
          <w:p>
            <w:pPr>
              <w:pStyle w:val="Compact"/>
              <w:jc w:val="left"/>
            </w:pPr>
            <w:r>
              <w:t xml:space="preserve">Total Units Sold (Judge Enterprise)</w:t>
            </w:r>
          </w:p>
        </w:tc>
        <w:tc>
          <w:tcPr/>
          <w:p>
            <w:pPr>
              <w:pStyle w:val="Compact"/>
              <w:jc w:val="left"/>
            </w:pPr>
            <w:r>
              <w:t xml:space="preserve">97</w:t>
            </w:r>
          </w:p>
        </w:tc>
        <w:tc>
          <w:tcPr/>
          <w:p>
            <w:pPr>
              <w:pStyle w:val="Compact"/>
              <w:jc w:val="left"/>
            </w:pPr>
            <w:r>
              <w:t xml:space="preserve">68</w:t>
            </w:r>
          </w:p>
        </w:tc>
        <w:tc>
          <w:tcPr/>
          <w:p>
            <w:pPr>
              <w:pStyle w:val="Compact"/>
              <w:jc w:val="left"/>
            </w:pPr>
            <w:r>
              <w:t xml:space="preserve">+42.6%</w:t>
            </w:r>
          </w:p>
        </w:tc>
      </w:tr>
      <w:tr>
        <w:tc>
          <w:tcPr/>
          <w:p>
            <w:pPr>
              <w:pStyle w:val="Compact"/>
              <w:jc w:val="left"/>
            </w:pPr>
            <w:r>
              <w:t xml:space="preserve">Revenue Generated ($)</w:t>
            </w:r>
          </w:p>
        </w:tc>
        <w:tc>
          <w:tcPr/>
          <w:p>
            <w:pPr>
              <w:pStyle w:val="Compact"/>
              <w:jc w:val="left"/>
            </w:pPr>
            <w:r>
              <w:t xml:space="preserve">$1,842,500</w:t>
            </w:r>
          </w:p>
        </w:tc>
        <w:tc>
          <w:tcPr/>
          <w:p>
            <w:pPr>
              <w:pStyle w:val="Compact"/>
              <w:jc w:val="left"/>
            </w:pPr>
            <w:r>
              <w:t xml:space="preserve">$1,379,200</w:t>
            </w:r>
          </w:p>
        </w:tc>
        <w:tc>
          <w:tcPr/>
          <w:p>
            <w:pPr>
              <w:pStyle w:val="Compact"/>
              <w:jc w:val="left"/>
            </w:pPr>
            <w:r>
              <w:t xml:space="preserve">+33.6%</w:t>
            </w:r>
          </w:p>
        </w:tc>
      </w:tr>
      <w:tr>
        <w:tc>
          <w:tcPr/>
          <w:p>
            <w:pPr>
              <w:pStyle w:val="Compact"/>
              <w:jc w:val="left"/>
            </w:pPr>
            <w:r>
              <w:t xml:space="preserve">New Client Acquisition</w:t>
            </w:r>
          </w:p>
        </w:tc>
        <w:tc>
          <w:tcPr/>
          <w:p>
            <w:pPr>
              <w:pStyle w:val="Compact"/>
              <w:jc w:val="left"/>
            </w:pPr>
            <w:r>
              <w:t xml:space="preserve">47 firms/courts</w:t>
            </w:r>
          </w:p>
        </w:tc>
        <w:tc>
          <w:tcPr/>
          <w:p>
            <w:pPr>
              <w:pStyle w:val="Compact"/>
              <w:jc w:val="left"/>
            </w:pPr>
            <w:r>
              <w:t xml:space="preserve">28 firms/courts</w:t>
            </w:r>
          </w:p>
        </w:tc>
        <w:tc>
          <w:tcPr/>
          <w:p>
            <w:pPr>
              <w:pStyle w:val="Compact"/>
              <w:jc w:val="left"/>
            </w:pPr>
            <w:r>
              <w:t xml:space="preserve">+67.9%</w:t>
            </w:r>
          </w:p>
        </w:tc>
      </w:tr>
      <w:tr>
        <w:tc>
          <w:tcPr/>
          <w:p>
            <w:pPr>
              <w:pStyle w:val="Compact"/>
              <w:jc w:val="left"/>
            </w:pPr>
            <w:r>
              <w:t xml:space="preserve">Customer Retention Rate</w:t>
            </w:r>
          </w:p>
        </w:tc>
        <w:tc>
          <w:tcPr/>
          <w:p>
            <w:pPr>
              <w:pStyle w:val="Compact"/>
              <w:jc w:val="left"/>
            </w:pPr>
            <w:r>
              <w:t xml:space="preserve">93.1%</w:t>
            </w:r>
          </w:p>
        </w:tc>
        <w:tc>
          <w:tcPr/>
          <w:p>
            <w:pPr>
              <w:pStyle w:val="Compact"/>
              <w:jc w:val="left"/>
            </w:pPr>
            <w:r>
              <w:t xml:space="preserve">89.5%</w:t>
            </w:r>
          </w:p>
        </w:tc>
        <w:tc>
          <w:tcPr/>
          <w:p>
            <w:pPr>
              <w:pStyle w:val="Compact"/>
              <w:jc w:val="left"/>
            </w:pPr>
            <w:r>
              <w:t xml:space="preserve">+3.6 pts</w:t>
            </w:r>
          </w:p>
        </w:tc>
      </w:tr>
    </w:tbl>
    <w:p>
      <w:pPr>
        <w:pStyle w:val="BodyText"/>
      </w:pPr>
      <w:r>
        <w:t xml:space="preserve">The United States New York City market continues to outperform national averages by 22% in both acquisition velocity and average deal size. This growth is directly attributable to Judge's strategic adaptation to NYC's unique judicial requirements—particularly its seamless integration with the New York State Unified Court System (UCS) API and compliance with NYC Administrative Code § 1-07(b).</w:t>
      </w:r>
    </w:p>
    <w:bookmarkEnd w:id="21"/>
    <w:bookmarkStart w:id="22" w:name="Xf9b4577ccd28ca34449d2345b8cb7d27b4aa905"/>
    <w:p>
      <w:pPr>
        <w:pStyle w:val="Heading2"/>
      </w:pPr>
      <w:r>
        <w:t xml:space="preserve">III. Market Analysis: Why Judge Dominates United States New York City</w:t>
      </w:r>
    </w:p>
    <w:p>
      <w:pPr>
        <w:pStyle w:val="FirstParagraph"/>
      </w:pPr>
      <w:r>
        <w:t xml:space="preserve">Our competitive analysis reveals why Judge has become the de facto solution for judicial technology in United States New York City:</w:t>
      </w:r>
    </w:p>
    <w:p>
      <w:pPr>
        <w:numPr>
          <w:ilvl w:val="0"/>
          <w:numId w:val="1001"/>
        </w:numPr>
        <w:pStyle w:val="Compact"/>
      </w:pPr>
      <w:r>
        <w:rPr>
          <w:bCs/>
          <w:b/>
        </w:rPr>
        <w:t xml:space="preserve">Regulatory Alignment:</w:t>
      </w:r>
      <w:r>
        <w:t xml:space="preserve"> </w:t>
      </w:r>
      <w:r>
        <w:t xml:space="preserve">Judge was the first platform certified by NYC's Office of Court Administration (OCA) for HIPAA-compliant case management, addressing a critical unmet need in boroughs like Brooklyn and Queens where legal tech adoption lagged.</w:t>
      </w:r>
    </w:p>
    <w:p>
      <w:pPr>
        <w:numPr>
          <w:ilvl w:val="0"/>
          <w:numId w:val="1001"/>
        </w:numPr>
        <w:pStyle w:val="Compact"/>
      </w:pPr>
      <w:r>
        <w:rPr>
          <w:bCs/>
          <w:b/>
        </w:rPr>
        <w:t xml:space="preserve">Localized Support Network:</w:t>
      </w:r>
      <w:r>
        <w:t xml:space="preserve"> </w:t>
      </w:r>
      <w:r>
        <w:t xml:space="preserve">The dedicated Judge NYC Support Hub—staffed with former NYS Supreme Court clerks—reduces onboarding time by 64% versus competitors, a key differentiator in the city's high-pressure judicial environment.</w:t>
      </w:r>
    </w:p>
    <w:p>
      <w:pPr>
        <w:numPr>
          <w:ilvl w:val="0"/>
          <w:numId w:val="1001"/>
        </w:numPr>
        <w:pStyle w:val="Compact"/>
      </w:pPr>
      <w:r>
        <w:rPr>
          <w:bCs/>
          <w:b/>
        </w:rPr>
        <w:t xml:space="preserve">Economic Resilience:</w:t>
      </w:r>
      <w:r>
        <w:t xml:space="preserve"> </w:t>
      </w:r>
      <w:r>
        <w:t xml:space="preserve">During Q3 economic volatility, Judge maintained 89% client retention as NYC courts prioritized workflow efficiency to manage backlog reductions (now at 17% below peak pandemic levels).</w:t>
      </w:r>
    </w:p>
    <w:p>
      <w:pPr>
        <w:pStyle w:val="FirstParagraph"/>
      </w:pPr>
      <w:r>
        <w:t xml:space="preserve">In stark contrast, competitors like "CaseFlow" and "LegalTrack" reported 14% client attrition in United States New York City during the same period due to insufficient integration with NYC's complex court hierarchies.</w:t>
      </w:r>
    </w:p>
    <w:bookmarkEnd w:id="22"/>
    <w:bookmarkStart w:id="23" w:name="Xaa355d1ce89c0307c428347a2038b17126dfdaa"/>
    <w:p>
      <w:pPr>
        <w:pStyle w:val="Heading2"/>
      </w:pPr>
      <w:r>
        <w:t xml:space="preserve">IV. Customer Success Stories: Judge in Action Across NYC</w:t>
      </w:r>
    </w:p>
    <w:p>
      <w:pPr>
        <w:pStyle w:val="FirstParagraph"/>
      </w:pPr>
      <w:r>
        <w:t xml:space="preserve">Real-world implementation data from United States New York City demonstrates Judge's transformative impact:</w:t>
      </w:r>
    </w:p>
    <w:p>
      <w:pPr>
        <w:pStyle w:val="BlockText"/>
      </w:pPr>
      <w:r>
        <w:t xml:space="preserve">"</w:t>
      </w:r>
      <w:r>
        <w:rPr>
          <w:iCs/>
          <w:i/>
        </w:rPr>
        <w:t xml:space="preserve">The Judge platform cut our evidentiary review time by 58% during the recent Bronx Family Court consolidation. As a Municipal Court Manager, I can now focus on judicial outcomes—not software workarounds. This Sales Report proves why we've become Judge's most loyal client in New York City.</w:t>
      </w:r>
      <w:r>
        <w:t xml:space="preserve">"</w:t>
      </w:r>
    </w:p>
    <w:p>
      <w:pPr>
        <w:pStyle w:val="BlockText"/>
      </w:pPr>
      <w:r>
        <w:rPr>
          <w:bCs/>
          <w:b/>
        </w:rPr>
        <w:t xml:space="preserve">- Maria Chen, Chief Administrative Officer, Bronx County Courts</w:t>
      </w:r>
    </w:p>
    <w:p>
      <w:pPr>
        <w:pStyle w:val="BlockText"/>
      </w:pPr>
      <w:r>
        <w:t xml:space="preserve">"</w:t>
      </w:r>
      <w:r>
        <w:rPr>
          <w:iCs/>
          <w:i/>
        </w:rPr>
        <w:t xml:space="preserve">After migrating from legacy systems to Judge, our Manhattan-based litigation firm reduced administrative costs by 31% while meeting NYC's strict e-filing deadlines. The platform's real-time analytics helped us secure a landmark settlement in a high-profile housing case—exactly the tool we needed for United States New York City practice.</w:t>
      </w:r>
      <w:r>
        <w:t xml:space="preserve">"</w:t>
      </w:r>
    </w:p>
    <w:p>
      <w:pPr>
        <w:pStyle w:val="BlockText"/>
      </w:pPr>
      <w:r>
        <w:rPr>
          <w:bCs/>
          <w:b/>
        </w:rPr>
        <w:t xml:space="preserve">- David Reynolds, Managing Partner, Reed &amp; Associates LLP</w:t>
      </w:r>
    </w:p>
    <w:bookmarkEnd w:id="23"/>
    <w:bookmarkStart w:id="24" w:name="v.-strategic-recommendations-for-q4-2023"/>
    <w:p>
      <w:pPr>
        <w:pStyle w:val="Heading2"/>
      </w:pPr>
      <w:r>
        <w:t xml:space="preserve">V. Strategic Recommendations for Q4 2023</w:t>
      </w:r>
    </w:p>
    <w:p>
      <w:pPr>
        <w:pStyle w:val="FirstParagraph"/>
      </w:pPr>
      <w:r>
        <w:t xml:space="preserve">Based on this Sales Report and emerging trends in United States New York City, we recommend:</w:t>
      </w:r>
    </w:p>
    <w:p>
      <w:pPr>
        <w:numPr>
          <w:ilvl w:val="0"/>
          <w:numId w:val="1002"/>
        </w:numPr>
        <w:pStyle w:val="Compact"/>
      </w:pPr>
      <w:r>
        <w:rPr>
          <w:bCs/>
          <w:b/>
        </w:rPr>
        <w:t xml:space="preserve">Expand NYC-Specific Features:</w:t>
      </w:r>
      <w:r>
        <w:t xml:space="preserve"> </w:t>
      </w:r>
      <w:r>
        <w:t xml:space="preserve">Develop a "NYC Case Type Module" to address borough-specific court procedures (e.g., Special Term Courts in Queens), projected to increase cross-selling by 25%.</w:t>
      </w:r>
    </w:p>
    <w:p>
      <w:pPr>
        <w:numPr>
          <w:ilvl w:val="0"/>
          <w:numId w:val="1002"/>
        </w:numPr>
        <w:pStyle w:val="Compact"/>
      </w:pPr>
      <w:r>
        <w:rPr>
          <w:bCs/>
          <w:b/>
        </w:rPr>
        <w:t xml:space="preserve">Solidify OCA Partnership:</w:t>
      </w:r>
      <w:r>
        <w:t xml:space="preserve"> </w:t>
      </w:r>
      <w:r>
        <w:t xml:space="preserve">Pursue official designation as the exclusive vendor for NYC's 2024 Court Modernization Initiative, which allocates $18M for judicial tech upgrades.</w:t>
      </w:r>
    </w:p>
    <w:p>
      <w:pPr>
        <w:numPr>
          <w:ilvl w:val="0"/>
          <w:numId w:val="1002"/>
        </w:numPr>
        <w:pStyle w:val="Compact"/>
      </w:pPr>
      <w:r>
        <w:rPr>
          <w:bCs/>
          <w:b/>
        </w:rPr>
        <w:t xml:space="preserve">Launch Targeted Training Series:</w:t>
      </w:r>
      <w:r>
        <w:t xml:space="preserve"> </w:t>
      </w:r>
      <w:r>
        <w:t xml:space="preserve">Host "Judge NYC Certification" workshops across all five boroughs to drive adoption in underserved communities like The Bronx and Staten Island.</w:t>
      </w:r>
    </w:p>
    <w:bookmarkEnd w:id="24"/>
    <w:bookmarkStart w:id="25" w:name="Xbef184a6a8ca3e1dc041a5c7da25f7abd48fb6d"/>
    <w:p>
      <w:pPr>
        <w:pStyle w:val="Heading2"/>
      </w:pPr>
      <w:r>
        <w:t xml:space="preserve">VI. Conclusion: Judge's Unshakeable Position in New York City</w:t>
      </w:r>
    </w:p>
    <w:p>
      <w:pPr>
        <w:pStyle w:val="FirstParagraph"/>
      </w:pPr>
      <w:r>
        <w:t xml:space="preserve">This Sales Report unequivocally demonstrates that Judge has transcended being merely a product—it is now the cornerstone of judicial efficiency across United States New York City. Our Q3 performance reflects not just market demand, but institutional trust: 78% of new Judge clients in NYC were referred by existing municipal court partners, validating our "court-first" strategy.</w:t>
      </w:r>
    </w:p>
    <w:p>
      <w:pPr>
        <w:pStyle w:val="BodyText"/>
      </w:pPr>
      <w:r>
        <w:t xml:space="preserve">As New York City navigates its post-pandemic judicial recovery and the implementation of the Justice for All Act (2023), Judge's compliance with evolving legal standards positions it as the essential tool for courts committed to equitable access. The metrics presented here confirm that Judge isn't just selling software in United States New York City—it's enabling a new era of justice delivery where technology serves people, not bureaucracy.</w:t>
      </w:r>
    </w:p>
    <w:p>
      <w:pPr>
        <w:pStyle w:val="BodyText"/>
      </w:pPr>
      <w:r>
        <w:t xml:space="preserve">With these results, we project $7.4M in total revenue from United States New York City for 2023 (up from $5.6M in 2022), representing 41% of our national total. This momentum validates our focus on NYC as the strategic heart of Judge's growth story—and confirms that "Judge" is no longer just a product name, but the standard by which judicial technology is measured in America's most complex legal ecosystem.</w:t>
      </w:r>
    </w:p>
    <w:p>
      <w:pPr>
        <w:pStyle w:val="BodyText"/>
      </w:pPr>
      <w:r>
        <w:rPr>
          <w:bCs/>
          <w:b/>
        </w:rPr>
        <w:t xml:space="preserve">Prepared By:</w:t>
      </w:r>
      <w:r>
        <w:t xml:space="preserve"> </w:t>
      </w:r>
      <w:r>
        <w:t xml:space="preserve">Global Sales Operations Team</w:t>
      </w:r>
      <w:r>
        <w:br/>
      </w:r>
      <w:r>
        <w:rPr>
          <w:bCs/>
          <w:b/>
        </w:rPr>
        <w:t xml:space="preserve">Approved By:</w:t>
      </w:r>
      <w:r>
        <w:t xml:space="preserve"> </w:t>
      </w:r>
      <w:r>
        <w:t xml:space="preserve">Chief Revenue Officer, Judge Technologies Inc.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Performance in United States New York City</dc:title>
  <dc:creator/>
  <dc:language>en</dc:language>
  <cp:keywords/>
  <dcterms:created xsi:type="dcterms:W3CDTF">2026-07-24T15:04:11Z</dcterms:created>
  <dcterms:modified xsi:type="dcterms:W3CDTF">2026-07-24T15:04:11Z</dcterms:modified>
</cp:coreProperties>
</file>

<file path=docProps/custom.xml><?xml version="1.0" encoding="utf-8"?>
<Properties xmlns="http://schemas.openxmlformats.org/officeDocument/2006/custom-properties" xmlns:vt="http://schemas.openxmlformats.org/officeDocument/2006/docPropsVTypes"/>
</file>