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8" w:name="X80d83a12c435566be820b9403de613f8a043f26"/>
    <w:p>
      <w:pPr>
        <w:pStyle w:val="Heading1"/>
      </w:pPr>
      <w:r>
        <w:t xml:space="preserve">Annual Sales Report: Laboratory Technician Performance and Market Analysis for Toronto, Canada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role of Laboratory Technicians in driving revenue growth and operational excellence within diagnostic laboratory services across Canada Toronto. As the largest metropolitan healthcare hub in Canada, Toronto's laboratory services market has demonstrated remarkable resilience and expansion, with Laboratory Technicians serving as the indispensable engine behind our sales performance. This report analyzes 12 months of sales data (Q1 2023 - Q4 2023), emphasizing how strategic staffing and technical proficiency directly correlate to revenue growth in Canada's most competitive healthcare market.</w:t>
      </w:r>
    </w:p>
    <w:bookmarkEnd w:id="20"/>
    <w:bookmarkStart w:id="21" w:name="Xfa790da7ee0d5c3d9e5858abd9d7412cde53a1e"/>
    <w:p>
      <w:pPr>
        <w:pStyle w:val="Heading2"/>
      </w:pPr>
      <w:r>
        <w:t xml:space="preserve">Market Context: Toronto as Canada's Laboratory Services Epicenter</w:t>
      </w:r>
    </w:p>
    <w:p>
      <w:pPr>
        <w:pStyle w:val="FirstParagraph"/>
      </w:pPr>
      <w:r>
        <w:t xml:space="preserve">Canada Toronto operates as the nerve center for clinical diagnostics in North America, housing 68% of Canada's high-complexity laboratories. With a population exceeding 6.7 million and projected healthcare expenditure growth of 4.3% annually, Toronto represents a $1.2 billion laboratory services market segment within Canada. Our company has strategically anchored operations at our downtown Toronto facility to capture this high-value market, where Laboratory Technician expertise directly influences sales velocity and client retention rates.</w:t>
      </w:r>
    </w:p>
    <w:bookmarkEnd w:id="21"/>
    <w:bookmarkStart w:id="22" w:name="key-sales-performance-metrics-q1-q4-2023"/>
    <w:p>
      <w:pPr>
        <w:pStyle w:val="Heading2"/>
      </w:pPr>
      <w:r>
        <w:t xml:space="preserve">Key Sales Performance Metrics (Q1-Q4 2023)</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Revenue from Diagnostic Testing Services ($)</w:t>
      </w:r>
    </w:p>
    <w:p>
      <w:pPr>
        <w:pStyle w:val="BodyText"/>
      </w:pPr>
      <w:r>
        <w:t xml:space="preserve">$8.2M</w:t>
      </w:r>
    </w:p>
    <w:p>
      <w:pPr>
        <w:pStyle w:val="BodyText"/>
      </w:pPr>
      <w:r>
        <w:t xml:space="preserve">$11.7M</w:t>
      </w:r>
    </w:p>
    <w:p>
      <w:pPr>
        <w:pStyle w:val="BodyText"/>
      </w:pPr>
      <w:r>
        <w:t xml:space="preserve">+42.7%</w:t>
      </w:r>
    </w:p>
    <w:p>
      <w:pPr>
        <w:pStyle w:val="BodyText"/>
      </w:pPr>
      <w:r>
        <w:t xml:space="preserve">Client Retention Rate</w:t>
      </w:r>
    </w:p>
    <w:p>
      <w:pPr>
        <w:pStyle w:val="BodyText"/>
      </w:pPr>
      <w:r>
        <w:t xml:space="preserve">86%</w:t>
      </w:r>
    </w:p>
    <w:p>
      <w:pPr>
        <w:pStyle w:val="BodyText"/>
      </w:pPr>
      <w:r>
        <w:t xml:space="preserve">Laboratory Technician Impact Metrics</w:t>
      </w:r>
    </w:p>
    <w:p>
      <w:pPr>
        <w:pStyle w:val="BodyText"/>
      </w:pPr>
      <w:r>
        <w:t xml:space="preserve">Avg. Test Turnaround Time (hrs)</w:t>
      </w:r>
    </w:p>
    <w:p>
      <w:pPr>
        <w:pStyle w:val="BodyText"/>
      </w:pPr>
      <w:r>
        <w:t xml:space="preserve">18.4</w:t>
      </w:r>
    </w:p>
    <w:p>
      <w:pPr>
        <w:pStyle w:val="BodyText"/>
      </w:pPr>
      <w:r>
        <w:t xml:space="preserve">12.6</w:t>
      </w:r>
    </w:p>
    <w:p>
      <w:pPr>
        <w:pStyle w:val="BodyText"/>
      </w:pPr>
      <w:r>
        <w:t xml:space="preserve">-31.5%</w:t>
      </w:r>
    </w:p>
    <w:p>
      <w:pPr>
        <w:pStyle w:val="BodyText"/>
      </w:pPr>
      <w:r>
        <w:t xml:space="preserve">First-Attempt Test Accuracy Rate</w:t>
      </w:r>
    </w:p>
    <w:p>
      <w:pPr>
        <w:pStyle w:val="BodyText"/>
      </w:pPr>
      <w:r>
        <w:t xml:space="preserve">94.7%</w:t>
      </w:r>
    </w:p>
    <w:p>
      <w:pPr>
        <w:pStyle w:val="BodyText"/>
      </w:pPr>
      <w:r>
        <w:t xml:space="preserve">Sales Force Efficiency (Per Technician)</w:t>
      </w:r>
    </w:p>
    <w:p>
      <w:pPr>
        <w:pStyle w:val="BodyText"/>
      </w:pPr>
      <w:r>
        <w:t xml:space="preserve">Revenue Generated/Technician ($M)</w:t>
      </w:r>
    </w:p>
    <w:p>
      <w:pPr>
        <w:pStyle w:val="BodyText"/>
      </w:pPr>
      <w:r>
        <w:t xml:space="preserve">$2.1</w:t>
      </w:r>
    </w:p>
    <w:p>
      <w:pPr>
        <w:pStyle w:val="BodyText"/>
      </w:pPr>
      <w:r>
        <w:t xml:space="preserve">$3.8</w:t>
      </w:r>
    </w:p>
    <w:p>
      <w:pPr>
        <w:pStyle w:val="BodyText"/>
      </w:pPr>
      <w:r>
        <w:t xml:space="preserve">+80.9%</w:t>
      </w:r>
    </w:p>
    <w:bookmarkEnd w:id="22"/>
    <w:bookmarkStart w:id="23" w:name="X9898731a3d0d54628a9a8f803f4939d28124322"/>
    <w:p>
      <w:pPr>
        <w:pStyle w:val="Heading2"/>
      </w:pPr>
      <w:r>
        <w:t xml:space="preserve">The Laboratory Technician: Catalyst for Sales Growth in Canada Toronto</w:t>
      </w:r>
    </w:p>
    <w:p>
      <w:pPr>
        <w:pStyle w:val="FirstParagraph"/>
      </w:pPr>
      <w:r>
        <w:t xml:space="preserve">Our analysis confirms that exceptional Laboratory Technicians are not merely operational staff—they are strategic sales assets. In Toronto's competitive landscape, where 37% of lab clients switch providers annually due to service quality, our technicians' expertise directly impacts revenue through:</w:t>
      </w:r>
    </w:p>
    <w:p>
      <w:pPr>
        <w:numPr>
          <w:ilvl w:val="0"/>
          <w:numId w:val="1001"/>
        </w:numPr>
        <w:pStyle w:val="Compact"/>
      </w:pPr>
      <w:r>
        <w:rPr>
          <w:bCs/>
          <w:b/>
        </w:rPr>
        <w:t xml:space="preserve">Quality-Driven Client Retention</w:t>
      </w:r>
      <w:r>
        <w:t xml:space="preserve">: A 1% improvement in test accuracy correlates with a 2.4% increase in client retention (Toronto Healthcare Analytics Study, 2023). Our top-performing Laboratory Technicians (98.6% accuracy) achieved 95% renewal rates versus industry average of 79%</w:t>
      </w:r>
    </w:p>
    <w:p>
      <w:pPr>
        <w:numPr>
          <w:ilvl w:val="0"/>
          <w:numId w:val="1001"/>
        </w:numPr>
        <w:pStyle w:val="Compact"/>
      </w:pPr>
      <w:r>
        <w:rPr>
          <w:bCs/>
          <w:b/>
        </w:rPr>
        <w:t xml:space="preserve">Speed-to-Market Advantage</w:t>
      </w:r>
      <w:r>
        <w:t xml:space="preserve">: Reduced turnaround times enabled us to secure $1.4M in new contracts with Toronto hospitals by meeting urgent testing windows during the H1N1 flu surge</w:t>
      </w:r>
    </w:p>
    <w:p>
      <w:pPr>
        <w:numPr>
          <w:ilvl w:val="0"/>
          <w:numId w:val="1001"/>
        </w:numPr>
        <w:pStyle w:val="Compact"/>
      </w:pPr>
      <w:r>
        <w:rPr>
          <w:bCs/>
          <w:b/>
        </w:rPr>
        <w:t xml:space="preserve">Upsell Opportunities</w:t>
      </w:r>
      <w:r>
        <w:t xml:space="preserve">: Technicians identifying abnormal results during routine testing generated 237 high-value add-on test sales ($580K revenue) through proactive client communication</w:t>
      </w:r>
    </w:p>
    <w:bookmarkEnd w:id="23"/>
    <w:bookmarkStart w:id="24" w:name="X15e990d83417bcb4c0ad4c577e8de28724a1c4e"/>
    <w:p>
      <w:pPr>
        <w:pStyle w:val="Heading2"/>
      </w:pPr>
      <w:r>
        <w:t xml:space="preserve">Toronto-Specific Challenges and Strategic Solutions</w:t>
      </w:r>
    </w:p>
    <w:p>
      <w:pPr>
        <w:pStyle w:val="FirstParagraph"/>
      </w:pPr>
      <w:r>
        <w:t xml:space="preserve">The Canada Toronto market presents unique challenges demanding specialized Laboratory Technician capabilities:</w:t>
      </w:r>
    </w:p>
    <w:p>
      <w:pPr>
        <w:numPr>
          <w:ilvl w:val="0"/>
          <w:numId w:val="1002"/>
        </w:numPr>
        <w:pStyle w:val="Compact"/>
      </w:pPr>
      <w:r>
        <w:rPr>
          <w:bCs/>
          <w:b/>
        </w:rPr>
        <w:t xml:space="preserve">Regulatory Complexity</w:t>
      </w:r>
      <w:r>
        <w:t xml:space="preserve">: Ontario's 2023 Clinical Laboratory Standards (CLS) required technician re-certification. We invested $147K in Toronto-based training, resulting in 100% compliance and avoiding $650K in potential fines</w:t>
      </w:r>
    </w:p>
    <w:p>
      <w:pPr>
        <w:numPr>
          <w:ilvl w:val="0"/>
          <w:numId w:val="1002"/>
        </w:numPr>
        <w:pStyle w:val="Compact"/>
      </w:pPr>
      <w:r>
        <w:rPr>
          <w:bCs/>
          <w:b/>
        </w:rPr>
        <w:t xml:space="preserve">Seasonal Demand Spikes</w:t>
      </w:r>
      <w:r>
        <w:t xml:space="preserve">: Winter respiratory season increased testing volume by 62%. Our Toronto Laboratory Technician team implemented predictive scheduling, reducing overtime costs by 38%</w:t>
      </w:r>
    </w:p>
    <w:bookmarkEnd w:id="24"/>
    <w:bookmarkStart w:id="25" w:name="X29d7924ed8572206fb82aedc8382cdf2dd14b15"/>
    <w:p>
      <w:pPr>
        <w:pStyle w:val="Heading2"/>
      </w:pPr>
      <w:r>
        <w:t xml:space="preserve">Investment in Laboratory Technician Talent: ROI Analysis</w:t>
      </w:r>
    </w:p>
    <w:p>
      <w:pPr>
        <w:pStyle w:val="FirstParagraph"/>
      </w:pPr>
      <w:r>
        <w:t xml:space="preserve">Our strategic investment in Toronto talent yielded exceptional returns:</w:t>
      </w:r>
    </w:p>
    <w:p>
      <w:pPr>
        <w:pStyle w:val="BodyText"/>
      </w:pPr>
      <w:r>
        <w:t xml:space="preserve">Talent Initiative</w:t>
      </w:r>
    </w:p>
    <w:p>
      <w:pPr>
        <w:pStyle w:val="BodyText"/>
      </w:pPr>
      <w:r>
        <w:t xml:space="preserve">Cost ($)</w:t>
      </w:r>
    </w:p>
    <w:p>
      <w:pPr>
        <w:pStyle w:val="BodyText"/>
      </w:pPr>
      <w:r>
        <w:t xml:space="preserve">Revenue Impact ($)</w:t>
      </w:r>
    </w:p>
    <w:p>
      <w:pPr>
        <w:pStyle w:val="BodyText"/>
      </w:pPr>
      <w:r>
        <w:t xml:space="preserve">Bilingual Certification Program (Toronto)</w:t>
      </w:r>
    </w:p>
    <w:p>
      <w:pPr>
        <w:pStyle w:val="BodyText"/>
      </w:pPr>
      <w:r>
        <w:t xml:space="preserve">147,200</w:t>
      </w:r>
    </w:p>
    <w:p>
      <w:pPr>
        <w:pStyle w:val="BodyText"/>
      </w:pPr>
      <w:r>
        <w:t xml:space="preserve">582,500</w:t>
      </w:r>
    </w:p>
    <w:p>
      <w:pPr>
        <w:pStyle w:val="BodyText"/>
      </w:pPr>
      <w:r>
        <w:t xml:space="preserve">Toronto Leadership Development Pathway</w:t>
      </w:r>
    </w:p>
    <w:p>
      <w:pPr>
        <w:pStyle w:val="BodyText"/>
      </w:pPr>
      <w:r>
        <w:t xml:space="preserve">&lt;</w:t>
      </w:r>
    </w:p>
    <w:p>
      <w:pPr>
        <w:pStyle w:val="BodyText"/>
      </w:pPr>
      <w:r>
        <w:t xml:space="preserve">98,400</w:t>
      </w:r>
    </w:p>
    <w:p>
      <w:pPr>
        <w:pStyle w:val="BodyText"/>
      </w:pPr>
      <w:r>
        <w:t xml:space="preserve">316,700</w:t>
      </w:r>
    </w:p>
    <w:p>
      <w:pPr>
        <w:pStyle w:val="BodyText"/>
      </w:pPr>
      <w:r>
        <w:t xml:space="preserve">Total Investment/ROI</w:t>
      </w:r>
    </w:p>
    <w:p>
      <w:pPr>
        <w:pStyle w:val="BodyText"/>
      </w:pPr>
      <w:r>
        <w:t xml:space="preserve">$245,600</w:t>
      </w:r>
    </w:p>
    <w:p>
      <w:pPr>
        <w:pStyle w:val="BodyText"/>
      </w:pPr>
      <w:r>
        <w:t xml:space="preserve">$957,200 (+289% ROI)</w:t>
      </w:r>
    </w:p>
    <w:bookmarkEnd w:id="25"/>
    <w:bookmarkStart w:id="26" w:name="Xa558533bc1ef4767b5bc2d652b3aebfa7eb4d6f"/>
    <w:p>
      <w:pPr>
        <w:pStyle w:val="Heading2"/>
      </w:pPr>
      <w:r>
        <w:t xml:space="preserve">Future Outlook: Laboratory Technician Strategy for Canada Toronto Growth</w:t>
      </w:r>
    </w:p>
    <w:p>
      <w:pPr>
        <w:pStyle w:val="FirstParagraph"/>
      </w:pPr>
      <w:r>
        <w:t xml:space="preserve">Based on our</w:t>
      </w:r>
      <w:r>
        <w:t xml:space="preserve"> </w:t>
      </w:r>
      <w:r>
        <w:rPr>
          <w:bCs/>
          <w:b/>
        </w:rPr>
        <w:t xml:space="preserve">Sales Report</w:t>
      </w:r>
      <w:r>
        <w:t xml:space="preserve">, we recommend three priority initiatives to leverage Laboratory Technician capabilities for sustained sales leadership in Canada Toronto:</w:t>
      </w:r>
    </w:p>
    <w:p>
      <w:pPr>
        <w:numPr>
          <w:ilvl w:val="0"/>
          <w:numId w:val="1003"/>
        </w:numPr>
        <w:pStyle w:val="Compact"/>
      </w:pPr>
      <w:r>
        <w:rPr>
          <w:bCs/>
          <w:b/>
        </w:rPr>
        <w:t xml:space="preserve">AI-Assisted Workflow Integration</w:t>
      </w:r>
      <w:r>
        <w:t xml:space="preserve">: Implementing machine learning tools (e.g., automated result flagging) will reduce technician workload by 25% while maintaining accuracy. Projected to generate $1.8M additional annual sales through capacity expansion.</w:t>
      </w:r>
    </w:p>
    <w:p>
      <w:pPr>
        <w:numPr>
          <w:ilvl w:val="0"/>
          <w:numId w:val="1003"/>
        </w:numPr>
        <w:pStyle w:val="Compact"/>
      </w:pPr>
      <w:r>
        <w:rPr>
          <w:bCs/>
          <w:b/>
        </w:rPr>
        <w:t xml:space="preserve">Toronto Community Health Partnerships</w:t>
      </w:r>
      <w:r>
        <w:t xml:space="preserve">: Establishing dedicated Laboratory Technician roles for public health initiatives (e.g., Toronto Public Health's chronic disease screening) will unlock $2.3M in municipal contracts by 2025.</w:t>
      </w:r>
    </w:p>
    <w:p>
      <w:pPr>
        <w:numPr>
          <w:ilvl w:val="0"/>
          <w:numId w:val="1003"/>
        </w:numPr>
        <w:pStyle w:val="Compact"/>
      </w:pPr>
      <w:r>
        <w:rPr>
          <w:bCs/>
          <w:b/>
        </w:rPr>
        <w:t xml:space="preserve">Specialized Training Centers</w:t>
      </w:r>
      <w:r>
        <w:t xml:space="preserve">: Creating Canada Toronto's first accredited certification hub for advanced molecular testing (targeting 150 new technicians annually) to capture emerging market segments like personalized oncology diagnostics.</w:t>
      </w:r>
    </w:p>
    <w:bookmarkEnd w:id="26"/>
    <w:bookmarkStart w:id="27" w:name="X45b5f5dc91ae1ff01596955900b3920b98b4410"/>
    <w:p>
      <w:pPr>
        <w:pStyle w:val="Heading2"/>
      </w:pPr>
      <w:r>
        <w:t xml:space="preserve">Conclusion: The Non-Negotiable Value of Laboratory Technicians</w:t>
      </w:r>
    </w:p>
    <w:p>
      <w:pPr>
        <w:pStyle w:val="FirstParagraph"/>
      </w:pPr>
      <w:r>
        <w:t xml:space="preserve">This</w:t>
      </w:r>
      <w:r>
        <w:t xml:space="preserve"> </w:t>
      </w:r>
      <w:r>
        <w:rPr>
          <w:bCs/>
          <w:b/>
        </w:rPr>
        <w:t xml:space="preserve">Sales Report</w:t>
      </w:r>
      <w:r>
        <w:t xml:space="preserve"> </w:t>
      </w:r>
      <w:r>
        <w:t xml:space="preserve">unequivocally demonstrates that in Canada Toronto's sophisticated healthcare marketplace, the Laboratory Technician is the single most impactful factor in revenue generation. Our data shows a direct causal relationship between technician quality and sales performance: for every 10% increase in technician certification scores, client acquisition costs decrease by 17% and average contract value increases by $28,500.</w:t>
      </w:r>
    </w:p>
    <w:p>
      <w:pPr>
        <w:pStyle w:val="BodyText"/>
      </w:pPr>
      <w:r>
        <w:t xml:space="preserve">As Toronto continues to expand as Canada's health innovation capital—with the government investing $4.2B in next-generation labs through 2030—we must prioritize Laboratory Technician talent development as our core sales strategy. The return on investment in this critical role isn't merely financial; it's the foundation of our market leadership and sustainable growth in Canada Toronto. We project that maintaining this focus will position us to capture 28% of Toronto's $1.5B laboratory services market by 2025—a target requiring continued strategic investment in our Laboratory Technician workforce.</w:t>
      </w:r>
    </w:p>
    <w:p>
      <w:pPr>
        <w:pStyle w:val="BodyText"/>
      </w:pPr>
      <w:r>
        <w:rPr>
          <w:bCs/>
          <w:b/>
        </w:rPr>
        <w:t xml:space="preserve">Prepared for:</w:t>
      </w:r>
      <w:r>
        <w:t xml:space="preserve"> </w:t>
      </w:r>
      <w:r>
        <w:t xml:space="preserve">Executive Leadership, Ontario Healthcare Commission</w:t>
      </w:r>
      <w:r>
        <w:br/>
      </w:r>
      <w:r>
        <w:rPr>
          <w:bCs/>
          <w:b/>
        </w:rPr>
        <w:t xml:space="preserve">Report Period:</w:t>
      </w:r>
      <w:r>
        <w:t xml:space="preserve"> </w:t>
      </w:r>
      <w:r>
        <w:t xml:space="preserve">January 1, 2023 – December 31, 2023</w:t>
      </w:r>
      <w:r>
        <w:br/>
      </w:r>
      <w:r>
        <w:rPr>
          <w:bCs/>
          <w:b/>
        </w:rPr>
        <w:t xml:space="preserve">Coverage Area:</w:t>
      </w:r>
      <w:r>
        <w:t xml:space="preserve"> </w:t>
      </w:r>
      <w:r>
        <w:t xml:space="preserve">Canada Toronto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Canada Toronto</dc:title>
  <dc:creator/>
  <dc:language>en</dc:language>
  <cp:keywords/>
  <dcterms:created xsi:type="dcterms:W3CDTF">2026-07-22T08:44:57Z</dcterms:created>
  <dcterms:modified xsi:type="dcterms:W3CDTF">2026-07-22T08:44:57Z</dcterms:modified>
</cp:coreProperties>
</file>

<file path=docProps/custom.xml><?xml version="1.0" encoding="utf-8"?>
<Properties xmlns="http://schemas.openxmlformats.org/officeDocument/2006/custom-properties" xmlns:vt="http://schemas.openxmlformats.org/officeDocument/2006/docPropsVTypes"/>
</file>