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&amp;</w:t>
      </w:r>
      <w:r>
        <w:t xml:space="preserve"> </w:t>
      </w:r>
      <w:r>
        <w:t xml:space="preserve">Performance</w:t>
      </w:r>
      <w:r>
        <w:t xml:space="preserve"> </w:t>
      </w:r>
      <w:r>
        <w:t xml:space="preserve">-</w:t>
      </w:r>
      <w:r>
        <w:t xml:space="preserve"> </w:t>
      </w:r>
      <w:r>
        <w:t xml:space="preserve">China</w:t>
      </w:r>
      <w:r>
        <w:t xml:space="preserve"> </w:t>
      </w:r>
      <w:r>
        <w:t xml:space="preserve">Shanghai</w:t>
      </w:r>
    </w:p>
    <w:bookmarkStart w:id="28" w:name="X72429671e2ae9821841a1681673ddf7a95b6e79"/>
    <w:p>
      <w:pPr>
        <w:pStyle w:val="Heading1"/>
      </w:pPr>
      <w:r>
        <w:t xml:space="preserve">SALES REPORT ANALYSIS ON LABORATORY TECHNICIAN RECRUITMENT &amp; PERFORMANCE IN CHINA SHANGHAI</w:t>
      </w:r>
    </w:p>
    <w:p>
      <w:pPr>
        <w:pStyle w:val="FirstParagraph"/>
      </w:pPr>
      <w:r>
        <w:t xml:space="preserve">Prepared for Strategic Leadership Team | Q3 2023 | Confidential</w:t>
      </w:r>
    </w:p>
    <w:bookmarkStart w:id="20" w:name="executive-summary"/>
    <w:p>
      <w:pPr>
        <w:pStyle w:val="Heading2"/>
      </w:pPr>
      <w:r>
        <w:t xml:space="preserve">Executive Summary</w:t>
      </w:r>
    </w:p>
    <w:p>
      <w:pPr>
        <w:pStyle w:val="FirstParagraph"/>
      </w:pPr>
      <w:r>
        <w:t xml:space="preserve">This comprehensive Sales Report details the strategic recruitment, performance metrics, and market positioning of Laboratory Technician roles across Shanghai, China. As one of the world's leading biotechnology hubs within China Shanghai, our organization has achieved a 217% increase in qualified Laboratory Technician placements compared to Q3 2022. This surge directly supports our expanding client portfolio in pharmaceuticals, medical diagnostics, and environmental testing sectors—validating Shanghai as the undisputed epicenter for high-demand laboratory talent in China.</w:t>
      </w:r>
    </w:p>
    <w:bookmarkEnd w:id="20"/>
    <w:bookmarkStart w:id="21" w:name="X1385fb724e036bcb94228098a442a3e8e376b41"/>
    <w:p>
      <w:pPr>
        <w:pStyle w:val="Heading2"/>
      </w:pPr>
      <w:r>
        <w:t xml:space="preserve">Market Context: Why China Shanghai Dominates Laboratory Talent Demand</w:t>
      </w:r>
    </w:p>
    <w:p>
      <w:pPr>
        <w:pStyle w:val="FirstParagraph"/>
      </w:pPr>
      <w:r>
        <w:t xml:space="preserve">Shanghai's strategic position as China's primary economic engine—home to 78% of the nation's top-tier biotech firms and 15+ international research centers—creates unparalleled demand for skilled Laboratory Technicians. The city accounts for 34% of all laboratory-related sales in China, with a compound annual growth rate (CAGR) of 12.7% in R&amp;D expenditure (Source: Shanghai Municipal Science &amp; Technology Bureau, 2023). This Sales Report confirms that our recruitment pipeline for Laboratory Technician roles has outpaced regional competition by 43%, securing premium candidates for clients in Shanghai's industrial clusters including Zhangjiang Hi-Tech Park and Lingang New City.</w:t>
      </w:r>
    </w:p>
    <w:bookmarkEnd w:id="21"/>
    <w:bookmarkStart w:id="22" w:name="X37162622391a96448cb7105749debdaf6131977"/>
    <w:p>
      <w:pPr>
        <w:pStyle w:val="Heading2"/>
      </w:pPr>
      <w:r>
        <w:t xml:space="preserve">Key Performance Metrics: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w:t>
            </w:r>
          </w:p>
        </w:tc>
      </w:tr>
      <w:tr>
        <w:tc>
          <w:tcPr/>
          <w:p>
            <w:pPr>
              <w:pStyle w:val="Compact"/>
              <w:jc w:val="left"/>
            </w:pPr>
            <w:r>
              <w:t xml:space="preserve">Laboratory Technician Placements (Shanghai)</w:t>
            </w:r>
          </w:p>
        </w:tc>
        <w:tc>
          <w:tcPr/>
          <w:p>
            <w:pPr>
              <w:pStyle w:val="Compact"/>
              <w:jc w:val="left"/>
            </w:pPr>
            <w:r>
              <w:t xml:space="preserve">87</w:t>
            </w:r>
          </w:p>
        </w:tc>
        <w:tc>
          <w:tcPr/>
          <w:p>
            <w:pPr>
              <w:pStyle w:val="Compact"/>
              <w:jc w:val="left"/>
            </w:pPr>
            <w:r>
              <w:t xml:space="preserve">27</w:t>
            </w:r>
          </w:p>
        </w:tc>
        <w:tc>
          <w:tcPr/>
          <w:p>
            <w:pPr>
              <w:pStyle w:val="Compact"/>
              <w:jc w:val="left"/>
            </w:pPr>
            <w:r>
              <w:t xml:space="preserve">+222%</w:t>
            </w:r>
          </w:p>
        </w:tc>
      </w:tr>
      <w:tr>
        <w:tc>
          <w:tcPr/>
          <w:p>
            <w:pPr>
              <w:pStyle w:val="Compact"/>
              <w:jc w:val="left"/>
            </w:pPr>
            <w:r>
              <w:t xml:space="preserve">Average Time-to-Fill (Days)</w:t>
            </w:r>
          </w:p>
        </w:tc>
        <w:tc>
          <w:tcPr/>
          <w:p>
            <w:pPr>
              <w:pStyle w:val="Compact"/>
              <w:jc w:val="left"/>
            </w:pPr>
            <w:r>
              <w:t xml:space="preserve">14</w:t>
            </w:r>
          </w:p>
        </w:tc>
        <w:tc>
          <w:tcPr/>
          <w:p>
            <w:pPr>
              <w:pStyle w:val="Compact"/>
              <w:jc w:val="left"/>
            </w:pPr>
            <w:r>
              <w:t xml:space="preserve">38</w:t>
            </w:r>
          </w:p>
        </w:tc>
        <w:tc>
          <w:tcPr/>
          <w:p>
            <w:pPr>
              <w:pStyle w:val="Compact"/>
              <w:jc w:val="left"/>
            </w:pPr>
            <w:r>
              <w:t xml:space="preserve">-63%</w:t>
            </w:r>
          </w:p>
        </w:tc>
      </w:tr>
      <w:tr>
        <w:tc>
          <w:tcPr/>
          <w:p>
            <w:pPr>
              <w:pStyle w:val="Compact"/>
              <w:jc w:val="left"/>
            </w:pPr>
            <w:r>
              <w:t xml:space="preserve">Client Satisfaction Rate (Lab Tech Roles)</w:t>
            </w:r>
          </w:p>
        </w:tc>
        <w:tc>
          <w:tcPr/>
          <w:p>
            <w:pPr>
              <w:pStyle w:val="Compact"/>
              <w:jc w:val="left"/>
            </w:pPr>
            <w:r>
              <w:t xml:space="preserve">96.2%</w:t>
            </w:r>
          </w:p>
        </w:tc>
        <w:tc>
          <w:tcPr/>
          <w:p>
            <w:pPr>
              <w:pStyle w:val="Compact"/>
              <w:jc w:val="left"/>
            </w:pPr>
            <w:r>
              <w:t xml:space="preserve">85.4%</w:t>
            </w:r>
          </w:p>
        </w:tc>
        <w:tc>
          <w:tcPr/>
          <w:p>
            <w:pPr>
              <w:pStyle w:val="Compact"/>
              <w:jc w:val="left"/>
            </w:pPr>
            <w:r>
              <w:t xml:space="preserve">+10.8 pts</w:t>
            </w:r>
          </w:p>
        </w:tc>
      </w:tr>
      <w:tr>
        <w:tc>
          <w:tcPr/>
          <w:p>
            <w:pPr>
              <w:pStyle w:val="Compact"/>
              <w:jc w:val="left"/>
            </w:pPr>
            <w:r>
              <w:t xml:space="preserve">Laboratory Technician Retention Rate (6 Months)</w:t>
            </w:r>
          </w:p>
        </w:tc>
        <w:tc>
          <w:tcPr/>
          <w:p>
            <w:pPr>
              <w:pStyle w:val="Compact"/>
              <w:jc w:val="left"/>
            </w:pPr>
            <w:r>
              <w:t xml:space="preserve">92%</w:t>
            </w:r>
          </w:p>
        </w:tc>
        <w:tc>
          <w:tcPr/>
          <w:p>
            <w:pPr>
              <w:pStyle w:val="Compact"/>
              <w:jc w:val="left"/>
            </w:pPr>
            <w:r>
              <w:t xml:space="preserve">78%</w:t>
            </w:r>
          </w:p>
        </w:tc>
        <w:tc>
          <w:tcPr/>
          <w:p>
            <w:pPr>
              <w:pStyle w:val="Compact"/>
              <w:jc w:val="left"/>
            </w:pPr>
            <w:r>
              <w:t xml:space="preserve">+14 pts</w:t>
            </w:r>
          </w:p>
        </w:tc>
      </w:tr>
    </w:tbl>
    <w:p>
      <w:pPr>
        <w:pStyle w:val="BodyText"/>
      </w:pPr>
      <w:r>
        <w:t xml:space="preserve">These figures demonstrate how our specialized approach to recruiting Laboratory Technicians in China Shanghai has revolutionized sales efficiency. The 63% reduction in time-to-fill directly translates to accelerated client project timelines, while the 92% retention rate minimizes costly replacement cycles—a key differentiator in Shanghai's competitive talent market.</w:t>
      </w:r>
    </w:p>
    <w:bookmarkEnd w:id="22"/>
    <w:bookmarkStart w:id="23" w:name="X8a5bc6438a2d621b62b8b84df8db8d8d2193dd4"/>
    <w:p>
      <w:pPr>
        <w:pStyle w:val="Heading2"/>
      </w:pPr>
      <w:r>
        <w:t xml:space="preserve">Strategic Recruitment Tactics Driving Sales Success</w:t>
      </w:r>
    </w:p>
    <w:p>
      <w:pPr>
        <w:pStyle w:val="FirstParagraph"/>
      </w:pPr>
      <w:r>
        <w:t xml:space="preserve">Our Sales Report identifies three pivotal strategies that elevated Laboratory Technician placements in China Shanghai:</w:t>
      </w:r>
    </w:p>
    <w:p>
      <w:pPr>
        <w:numPr>
          <w:ilvl w:val="0"/>
          <w:numId w:val="1001"/>
        </w:numPr>
        <w:pStyle w:val="Compact"/>
      </w:pPr>
      <w:r>
        <w:rPr>
          <w:bCs/>
          <w:b/>
        </w:rPr>
        <w:t xml:space="preserve">Localized Candidate Sourcing Partnerships:</w:t>
      </w:r>
      <w:r>
        <w:t xml:space="preserve"> </w:t>
      </w:r>
      <w:r>
        <w:t xml:space="preserve">Collaborating with 17 top Shanghai universities (including Fudan and Tongji) for targeted talent pipelines, resulting in 68% of placements from institutional partnerships.</w:t>
      </w:r>
    </w:p>
    <w:p>
      <w:pPr>
        <w:numPr>
          <w:ilvl w:val="0"/>
          <w:numId w:val="1001"/>
        </w:numPr>
        <w:pStyle w:val="Compact"/>
      </w:pPr>
      <w:r>
        <w:rPr>
          <w:bCs/>
          <w:b/>
        </w:rPr>
        <w:t xml:space="preserve">Cultural Competency Integration:</w:t>
      </w:r>
      <w:r>
        <w:t xml:space="preserve"> </w:t>
      </w:r>
      <w:r>
        <w:t xml:space="preserve">Training all recruitment staff in China's technical certification frameworks (e.g., CNAS, ISO 15189), ensuring Laboratory Technicians meet both international standards and local compliance requirements.</w:t>
      </w:r>
    </w:p>
    <w:p>
      <w:pPr>
        <w:numPr>
          <w:ilvl w:val="0"/>
          <w:numId w:val="1001"/>
        </w:numPr>
        <w:pStyle w:val="Compact"/>
      </w:pPr>
      <w:r>
        <w:rPr>
          <w:bCs/>
          <w:b/>
        </w:rPr>
        <w:t xml:space="preserve">Shanghai-Specific Incentive Structures:</w:t>
      </w:r>
      <w:r>
        <w:t xml:space="preserve"> </w:t>
      </w:r>
      <w:r>
        <w:t xml:space="preserve">Developing relocation packages with housing subsidies and language training, reducing candidate attrition by 37% in our Shanghai operations.</w:t>
      </w:r>
    </w:p>
    <w:bookmarkEnd w:id="23"/>
    <w:bookmarkStart w:id="24" w:name="X0f147db7ef3198154d40cfb92784ba3578ff65d"/>
    <w:p>
      <w:pPr>
        <w:pStyle w:val="Heading2"/>
      </w:pPr>
      <w:r>
        <w:t xml:space="preserve">Client Impact Analysis: Direct Sales Revenue Correlation</w:t>
      </w:r>
    </w:p>
    <w:p>
      <w:pPr>
        <w:pStyle w:val="FirstParagraph"/>
      </w:pPr>
      <w:r>
        <w:t xml:space="preserve">The success of Laboratory Technician placements directly fueled a $1.8M revenue increase for our sales division in China Shanghai during Q3. Clients who secured our recommended technicians reported:</w:t>
      </w:r>
    </w:p>
    <w:p>
      <w:pPr>
        <w:numPr>
          <w:ilvl w:val="0"/>
          <w:numId w:val="1002"/>
        </w:numPr>
        <w:pStyle w:val="Compact"/>
      </w:pPr>
      <w:r>
        <w:t xml:space="preserve">40% faster sample processing rates</w:t>
      </w:r>
    </w:p>
    <w:p>
      <w:pPr>
        <w:numPr>
          <w:ilvl w:val="0"/>
          <w:numId w:val="1002"/>
        </w:numPr>
        <w:pStyle w:val="Compact"/>
      </w:pPr>
      <w:r>
        <w:t xml:space="preserve">27% reduction in quality control discrepancies</w:t>
      </w:r>
    </w:p>
    <w:p>
      <w:pPr>
        <w:numPr>
          <w:ilvl w:val="0"/>
          <w:numId w:val="1002"/>
        </w:numPr>
        <w:pStyle w:val="Compact"/>
      </w:pPr>
      <w:r>
        <w:t xml:space="preserve">15 new R&amp;D contracts attributed to enhanced lab capacity</w:t>
      </w:r>
    </w:p>
    <w:p>
      <w:pPr>
        <w:pStyle w:val="FirstParagraph"/>
      </w:pPr>
      <w:r>
        <w:t xml:space="preserve">A key example is our partnership with a leading Shanghai-based pharmaceutical firm. After placing 12 senior Laboratory Technicians through our Sales Report-driven process, they achieved FDA approval for a novel cancer treatment 7 months ahead of schedule—directly contributing to $450K in additional contract value.</w:t>
      </w:r>
    </w:p>
    <w:bookmarkEnd w:id="24"/>
    <w:bookmarkStart w:id="25" w:name="market-challenges-adaptive-solutions"/>
    <w:p>
      <w:pPr>
        <w:pStyle w:val="Heading2"/>
      </w:pPr>
      <w:r>
        <w:t xml:space="preserve">Market Challenges &amp; Adaptive Solutions</w:t>
      </w:r>
    </w:p>
    <w:p>
      <w:pPr>
        <w:pStyle w:val="FirstParagraph"/>
      </w:pPr>
      <w:r>
        <w:t xml:space="preserve">While China Shanghai offers immense opportunities, two critical challenges emerged this quarter:</w:t>
      </w:r>
    </w:p>
    <w:p>
      <w:pPr>
        <w:numPr>
          <w:ilvl w:val="0"/>
          <w:numId w:val="1003"/>
        </w:numPr>
        <w:pStyle w:val="Compact"/>
      </w:pPr>
      <w:r>
        <w:rPr>
          <w:bCs/>
          <w:b/>
        </w:rPr>
        <w:t xml:space="preserve">Talent Shortage in Specialized Fields:</w:t>
      </w:r>
      <w:r>
        <w:t xml:space="preserve"> </w:t>
      </w:r>
      <w:r>
        <w:t xml:space="preserve">Demand for GC-MS and DNA sequencing Laboratory Technicians exceeded supply by 58%. Our solution involved creating a Shanghai-based upskilling program with local labs, training 31 technicians in emerging methodologies.</w:t>
      </w:r>
    </w:p>
    <w:p>
      <w:pPr>
        <w:numPr>
          <w:ilvl w:val="0"/>
          <w:numId w:val="1003"/>
        </w:numPr>
        <w:pStyle w:val="Compact"/>
      </w:pPr>
      <w:r>
        <w:rPr>
          <w:bCs/>
          <w:b/>
        </w:rPr>
        <w:t xml:space="preserve">Competitive Market Pressure:</w:t>
      </w:r>
      <w:r>
        <w:t xml:space="preserve"> </w:t>
      </w:r>
      <w:r>
        <w:t xml:space="preserve">Rivals undercutting pricing by 22% on mid-tier roles. We countered by bundling technician placements with premium compliance consulting services—increasing average deal value by 35% without compromising margins.</w:t>
      </w:r>
    </w:p>
    <w:bookmarkEnd w:id="25"/>
    <w:bookmarkStart w:id="26" w:name="X4d14acb28b832ca26e60a3bdc4fbb9b19e4b144"/>
    <w:p>
      <w:pPr>
        <w:pStyle w:val="Heading2"/>
      </w:pPr>
      <w:r>
        <w:t xml:space="preserve">Future Outlook: Expanding Laboratory Technician Sales in China Shanghai</w:t>
      </w:r>
    </w:p>
    <w:p>
      <w:pPr>
        <w:pStyle w:val="FirstParagraph"/>
      </w:pPr>
      <w:r>
        <w:t xml:space="preserve">Based on this Sales Report, we project a 30% YoY growth in Laboratory Technician demand across Shanghai by Q1 2024, driven by:</w:t>
      </w:r>
    </w:p>
    <w:p>
      <w:pPr>
        <w:numPr>
          <w:ilvl w:val="0"/>
          <w:numId w:val="1004"/>
        </w:numPr>
        <w:pStyle w:val="Compact"/>
      </w:pPr>
      <w:r>
        <w:t xml:space="preserve">The National "Healthy China 2030" initiative increasing lab investment</w:t>
      </w:r>
    </w:p>
    <w:p>
      <w:pPr>
        <w:numPr>
          <w:ilvl w:val="0"/>
          <w:numId w:val="1004"/>
        </w:numPr>
        <w:pStyle w:val="Compact"/>
      </w:pPr>
      <w:r>
        <w:t xml:space="preserve">New regulations requiring advanced laboratory certifications for all Chinese pharmaceutical exports</w:t>
      </w:r>
    </w:p>
    <w:p>
      <w:pPr>
        <w:numPr>
          <w:ilvl w:val="0"/>
          <w:numId w:val="1004"/>
        </w:numPr>
        <w:pStyle w:val="Compact"/>
      </w:pPr>
      <w:r>
        <w:t xml:space="preserve">Shanghai's $8.4B biotech development fund allocating resources to talent infrastructure</w:t>
      </w:r>
    </w:p>
    <w:p>
      <w:pPr>
        <w:pStyle w:val="FirstParagraph"/>
      </w:pPr>
      <w:r>
        <w:t xml:space="preserve">We recommend three immediate actions: (1) Establish a dedicated Shanghai Laboratory Technician Academy by Q1 2024, (2) Develop tiered service packages for emerging sub-specialties like AI-driven lab analytics, and (3) Implement real-time market pricing tools to maintain competitive positioning in China Shanghai's dynamic talent economy.</w:t>
      </w:r>
    </w:p>
    <w:bookmarkEnd w:id="26"/>
    <w:bookmarkStart w:id="27" w:name="conclusion"/>
    <w:p>
      <w:pPr>
        <w:pStyle w:val="Heading2"/>
      </w:pPr>
      <w:r>
        <w:t xml:space="preserve">Conclusion</w:t>
      </w:r>
    </w:p>
    <w:p>
      <w:pPr>
        <w:pStyle w:val="FirstParagraph"/>
      </w:pPr>
      <w:r>
        <w:t xml:space="preserve">This Sales Report unequivocally demonstrates that strategic Laboratory Technician recruitment is a high-impact revenue driver within the China Shanghai market. Our 217% placement growth, coupled with 96.2% client satisfaction, validates our investment in localized talent acquisition as essential for sustaining competitive advantage. As Shanghai evolves into Asia's premier laboratory services hub, mastering the nuances of Laboratory Technician sales—through cultural fluency, certification alignment, and strategic partnerships—will remain our most valuable asset for market leadership. We recommend allocating 35% of 2024 recruitment budget exclusively to China Shanghai initiatives to capture projected market expansion.</w:t>
      </w:r>
    </w:p>
    <w:p>
      <w:pPr>
        <w:pStyle w:val="BodyText"/>
      </w:pPr>
      <w:r>
        <w:t xml:space="preserve">"In China Shanghai's laboratory ecosystem, talent isn't just hired—it's strategically sold as a competitive advantage." — Strategic Sales Leadership,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Laboratory Technician Recruitment &amp; Performance - China Shanghai</dc:title>
  <dc:creator/>
  <dc:language>en</dc:language>
  <cp:keywords/>
  <dcterms:created xsi:type="dcterms:W3CDTF">2026-07-23T06:46:55Z</dcterms:created>
  <dcterms:modified xsi:type="dcterms:W3CDTF">2026-07-23T06:46:55Z</dcterms:modified>
</cp:coreProperties>
</file>

<file path=docProps/custom.xml><?xml version="1.0" encoding="utf-8"?>
<Properties xmlns="http://schemas.openxmlformats.org/officeDocument/2006/custom-properties" xmlns:vt="http://schemas.openxmlformats.org/officeDocument/2006/docPropsVTypes"/>
</file>