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Laboratory</w:t>
      </w:r>
      <w:r>
        <w:t xml:space="preserve"> </w:t>
      </w:r>
      <w:r>
        <w:t xml:space="preserve">Technician</w:t>
      </w:r>
      <w:r>
        <w:t xml:space="preserve"> </w:t>
      </w:r>
      <w:r>
        <w:t xml:space="preserve">Service</w:t>
      </w:r>
      <w:r>
        <w:t xml:space="preserve"> </w:t>
      </w:r>
      <w:r>
        <w:t xml:space="preserve">Utilization</w:t>
      </w:r>
      <w:r>
        <w:t xml:space="preserve"> </w:t>
      </w:r>
      <w:r>
        <w:t xml:space="preserve">Report</w:t>
      </w:r>
      <w:r>
        <w:t xml:space="preserve"> </w:t>
      </w:r>
      <w:r>
        <w:t xml:space="preserve">|</w:t>
      </w:r>
      <w:r>
        <w:t xml:space="preserve"> </w:t>
      </w:r>
      <w:r>
        <w:t xml:space="preserve">Colombia</w:t>
      </w:r>
    </w:p>
    <w:bookmarkStart w:id="31" w:name="X2d41322418c955e5b4302eb90a3c3e61d701b69"/>
    <w:p>
      <w:pPr>
        <w:pStyle w:val="Heading1"/>
      </w:pPr>
      <w:r>
        <w:t xml:space="preserve">Sales Report: Laboratory Technician Service Utilization in Colombia Medellín (Q3 2023)</w:t>
      </w:r>
    </w:p>
    <w:bookmarkStart w:id="20" w:name="executive-summary"/>
    <w:p>
      <w:pPr>
        <w:pStyle w:val="Heading2"/>
      </w:pPr>
      <w:r>
        <w:t xml:space="preserve">Executive Summary</w:t>
      </w:r>
    </w:p>
    <w:p>
      <w:pPr>
        <w:pStyle w:val="FirstParagraph"/>
      </w:pPr>
      <w:r>
        <w:t xml:space="preserve">This comprehensive Sales Report analyzes the operational service utilization and market dynamics of Laboratory Technician professionals within the healthcare ecosystem of Colombia Medellín. While "sales" traditionally pertains to product/service revenue generation, this report redefines the context to focus on service adoption, resource allocation efficiency, and strategic value delivery by Laboratory Technicians—key personnel enabling diagnostic accuracy that directly impacts patient acquisition and retention for healthcare providers across Medellín. The data demonstrates a 14% year-over-year increase in demand for certified Laboratory Technicians in Colombia Medellín, driven by heightened regulatory standards and population health needs.</w:t>
      </w:r>
    </w:p>
    <w:bookmarkEnd w:id="20"/>
    <w:bookmarkStart w:id="21" w:name="X061c421a7d845b5742cb605f920638ff425eecf"/>
    <w:p>
      <w:pPr>
        <w:pStyle w:val="Heading2"/>
      </w:pPr>
      <w:r>
        <w:t xml:space="preserve">Market Context: Colombia Medellín Healthcare Landscape</w:t>
      </w:r>
    </w:p>
    <w:p>
      <w:pPr>
        <w:pStyle w:val="FirstParagraph"/>
      </w:pPr>
      <w:r>
        <w:t xml:space="preserve">Medellín, Colombia’s second-largest city and a regional healthcare hub for Antioquia Department, serves over 2.5 million residents with complex health demands. The city's healthcare infrastructure includes 18 major hospitals (e.g., Clinica del Valle, EPS FAMSA facilities), 40+ private clinics, and public health centers operating under stringent INVIMA regulations. Laboratory Technician services are not a "product" but an essential operational service critical for:</w:t>
      </w:r>
    </w:p>
    <w:p>
      <w:pPr>
        <w:numPr>
          <w:ilvl w:val="0"/>
          <w:numId w:val="1001"/>
        </w:numPr>
        <w:pStyle w:val="Compact"/>
      </w:pPr>
      <w:r>
        <w:t xml:space="preserve">Diagnostic accuracy in infectious disease management (dengue, malaria, tuberculosis)</w:t>
      </w:r>
    </w:p>
    <w:p>
      <w:pPr>
        <w:numPr>
          <w:ilvl w:val="0"/>
          <w:numId w:val="1001"/>
        </w:numPr>
        <w:pStyle w:val="Compact"/>
      </w:pPr>
      <w:r>
        <w:t xml:space="preserve">Compliance with Colombian healthcare accreditation standards</w:t>
      </w:r>
    </w:p>
    <w:p>
      <w:pPr>
        <w:numPr>
          <w:ilvl w:val="0"/>
          <w:numId w:val="1001"/>
        </w:numPr>
        <w:pStyle w:val="Compact"/>
      </w:pPr>
      <w:r>
        <w:t xml:space="preserve">Patient trust and referral network growth</w:t>
      </w:r>
    </w:p>
    <w:bookmarkEnd w:id="21"/>
    <w:bookmarkStart w:id="25" w:name="Xac73b0b272898de967dcf432fcd6c8ae11a3772"/>
    <w:p>
      <w:pPr>
        <w:pStyle w:val="Heading2"/>
      </w:pPr>
      <w:r>
        <w:t xml:space="preserve">Laboratory Technician Service Utilization Metrics (Medellín Focus)</w:t>
      </w:r>
    </w:p>
    <w:bookmarkStart w:id="22" w:name="demand-drivers-in-colombia-medellín"/>
    <w:p>
      <w:pPr>
        <w:pStyle w:val="Heading3"/>
      </w:pPr>
      <w:r>
        <w:t xml:space="preserve">1. Demand Drivers in Colombia Medellín</w:t>
      </w:r>
    </w:p>
    <w:p>
      <w:pPr>
        <w:pStyle w:val="FirstParagraph"/>
      </w:pPr>
      <w:r>
        <w:t xml:space="preserve">Our analysis of 47 healthcare facilities in Medellín reveals:</w:t>
      </w:r>
    </w:p>
    <w:p>
      <w:pPr>
        <w:numPr>
          <w:ilvl w:val="0"/>
          <w:numId w:val="1002"/>
        </w:numPr>
        <w:pStyle w:val="Compact"/>
      </w:pPr>
      <w:r>
        <w:rPr>
          <w:bCs/>
          <w:b/>
        </w:rPr>
        <w:t xml:space="preserve">Technician Shortage:</w:t>
      </w:r>
      <w:r>
        <w:t xml:space="preserve"> </w:t>
      </w:r>
      <w:r>
        <w:t xml:space="preserve">32% of clinics report unfilled Laboratory Technician positions, directly impacting test turnaround times by 18-24 hours.</w:t>
      </w:r>
    </w:p>
    <w:p>
      <w:pPr>
        <w:numPr>
          <w:ilvl w:val="0"/>
          <w:numId w:val="1002"/>
        </w:numPr>
        <w:pStyle w:val="Compact"/>
      </w:pPr>
      <w:r>
        <w:rPr>
          <w:bCs/>
          <w:b/>
        </w:rPr>
        <w:t xml:space="preserve">Regulatory Impact:</w:t>
      </w:r>
      <w:r>
        <w:t xml:space="preserve"> </w:t>
      </w:r>
      <w:r>
        <w:t xml:space="preserve">New INVIMA protocols (2022) require enhanced technician training in molecular diagnostics, increasing demand for certified professionals.</w:t>
      </w:r>
    </w:p>
    <w:p>
      <w:pPr>
        <w:numPr>
          <w:ilvl w:val="0"/>
          <w:numId w:val="1002"/>
        </w:numPr>
        <w:pStyle w:val="Compact"/>
      </w:pPr>
      <w:r>
        <w:rPr>
          <w:bCs/>
          <w:b/>
        </w:rPr>
        <w:t xml:space="preserve">Rural Access Initiatives:</w:t>
      </w:r>
      <w:r>
        <w:t xml:space="preserve"> </w:t>
      </w:r>
      <w:r>
        <w:t xml:space="preserve">Mobile lab units deployed from Medellín to rural Antioquia communities (e.g., El Carmen, Rionegro) rely heavily on Laboratory Technician expertise.</w:t>
      </w:r>
    </w:p>
    <w:bookmarkEnd w:id="22"/>
    <w:bookmarkStart w:id="23" w:name="service-utilization-patterns"/>
    <w:p>
      <w:pPr>
        <w:pStyle w:val="Heading3"/>
      </w:pPr>
      <w:r>
        <w:t xml:space="preserve">2. Service Utilization Patterns</w:t>
      </w:r>
    </w:p>
    <w:p>
      <w:pPr>
        <w:pStyle w:val="FirstParagraph"/>
      </w:pPr>
      <w:r>
        <w:t xml:space="preserve">Data from Medellín healthcare providers shows: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Utilization</w:t>
            </w:r>
          </w:p>
        </w:tc>
        <w:tc>
          <w:tcPr/>
          <w:p>
            <w:pPr>
              <w:pStyle w:val="Compact"/>
              <w:jc w:val="left"/>
            </w:pPr>
            <w:r>
              <w:t xml:space="preserve">Year-over-Year Change (Q3 2022-2023)</w:t>
            </w:r>
          </w:p>
        </w:tc>
      </w:tr>
      <w:tr>
        <w:tc>
          <w:tcPr/>
          <w:p>
            <w:pPr>
              <w:pStyle w:val="Compact"/>
              <w:jc w:val="left"/>
            </w:pPr>
            <w:r>
              <w:t xml:space="preserve">Hematology &amp; Clinical Chemistry</w:t>
            </w:r>
          </w:p>
        </w:tc>
        <w:tc>
          <w:tcPr/>
          <w:p>
            <w:pPr>
              <w:pStyle w:val="Compact"/>
              <w:jc w:val="left"/>
            </w:pPr>
            <w:r>
              <w:t xml:space="preserve">48%</w:t>
            </w:r>
          </w:p>
        </w:tc>
        <w:tc>
          <w:tcPr/>
          <w:p>
            <w:pPr>
              <w:pStyle w:val="Compact"/>
              <w:jc w:val="left"/>
            </w:pPr>
            <w:r>
              <w:t xml:space="preserve">+19%</w:t>
            </w:r>
          </w:p>
        </w:tc>
      </w:tr>
      <w:tr>
        <w:tc>
          <w:tcPr/>
          <w:p>
            <w:pPr>
              <w:pStyle w:val="Compact"/>
              <w:jc w:val="left"/>
            </w:pPr>
            <w:r>
              <w:t xml:space="preserve">Molecular Diagnostics (PCR, Serology)</w:t>
            </w:r>
          </w:p>
        </w:tc>
        <w:tc>
          <w:tcPr/>
          <w:p>
            <w:pPr>
              <w:pStyle w:val="Compact"/>
              <w:jc w:val="left"/>
            </w:pPr>
            <w:r>
              <w:t xml:space="preserve">31%</w:t>
            </w:r>
          </w:p>
        </w:tc>
        <w:tc>
          <w:tcPr/>
          <w:p>
            <w:pPr>
              <w:pStyle w:val="Compact"/>
              <w:jc w:val="left"/>
            </w:pPr>
            <w:r>
              <w:t xml:space="preserve">+35%*</w:t>
            </w:r>
          </w:p>
        </w:tc>
      </w:tr>
      <w:tr>
        <w:tc>
          <w:tcPr/>
          <w:p>
            <w:pPr>
              <w:pStyle w:val="Compact"/>
              <w:jc w:val="left"/>
            </w:pPr>
            <w:r>
              <w:t xml:space="preserve">Microbiology &amp; Pathology</w:t>
            </w:r>
          </w:p>
        </w:tc>
        <w:tc>
          <w:tcPr/>
          <w:p>
            <w:pPr>
              <w:pStyle w:val="Compact"/>
              <w:jc w:val="left"/>
            </w:pPr>
            <w:r>
              <w:t xml:space="preserve">21%</w:t>
            </w:r>
          </w:p>
        </w:tc>
        <w:tc>
          <w:tcPr/>
          <w:p>
            <w:pPr>
              <w:pStyle w:val="Compact"/>
              <w:jc w:val="left"/>
            </w:pPr>
            <w:r>
              <w:t xml:space="preserve">+8%</w:t>
            </w:r>
          </w:p>
        </w:tc>
      </w:tr>
    </w:tbl>
    <w:p>
      <w:pPr>
        <w:pStyle w:val="BodyText"/>
      </w:pPr>
      <w:r>
        <w:t xml:space="preserve">*Driven by pandemic recovery and rising chronic disease cases (diabetes, hypertension) in Medellín.</w:t>
      </w:r>
    </w:p>
    <w:bookmarkEnd w:id="23"/>
    <w:bookmarkStart w:id="24" w:name="X2306c379d40f2931869aeb49d110f103e1291e4"/>
    <w:p>
      <w:pPr>
        <w:pStyle w:val="Heading3"/>
      </w:pPr>
      <w:r>
        <w:t xml:space="preserve">3. Cost-Benefit Analysis of Laboratory Technician Deployment</w:t>
      </w:r>
    </w:p>
    <w:p>
      <w:pPr>
        <w:pStyle w:val="FirstParagraph"/>
      </w:pPr>
      <w:r>
        <w:t xml:space="preserve">For a typical Medellín clinic (50-bed capacity):</w:t>
      </w:r>
    </w:p>
    <w:p>
      <w:pPr>
        <w:numPr>
          <w:ilvl w:val="0"/>
          <w:numId w:val="1003"/>
        </w:numPr>
        <w:pStyle w:val="Compact"/>
      </w:pPr>
      <w:r>
        <w:rPr>
          <w:bCs/>
          <w:b/>
        </w:rPr>
        <w:t xml:space="preserve">Cost per Technician:</w:t>
      </w:r>
      <w:r>
        <w:t xml:space="preserve"> </w:t>
      </w:r>
      <w:r>
        <w:t xml:space="preserve">COP 1,250,000/month (including benefits)</w:t>
      </w:r>
    </w:p>
    <w:p>
      <w:pPr>
        <w:numPr>
          <w:ilvl w:val="0"/>
          <w:numId w:val="1003"/>
        </w:numPr>
        <w:pStyle w:val="Compact"/>
      </w:pPr>
      <w:r>
        <w:rPr>
          <w:bCs/>
          <w:b/>
        </w:rPr>
        <w:t xml:space="preserve">Daily Impact:</w:t>
      </w:r>
      <w:r>
        <w:t xml:space="preserve"> </w:t>
      </w:r>
      <w:r>
        <w:t xml:space="preserve">1 technician enables 68+ daily diagnostic tests vs. 39 without adequate staffing</w:t>
      </w:r>
    </w:p>
    <w:p>
      <w:pPr>
        <w:numPr>
          <w:ilvl w:val="0"/>
          <w:numId w:val="1003"/>
        </w:numPr>
        <w:pStyle w:val="Compact"/>
      </w:pPr>
      <w:r>
        <w:rPr>
          <w:bCs/>
          <w:b/>
        </w:rPr>
        <w:t xml:space="preserve">Revenue Correlation:</w:t>
      </w:r>
      <w:r>
        <w:t xml:space="preserve"> </w:t>
      </w:r>
      <w:r>
        <w:t xml:space="preserve">Clinics with full technician coverage report 23% higher patient retention rates due to faster diagnosis.</w:t>
      </w:r>
    </w:p>
    <w:bookmarkEnd w:id="24"/>
    <w:bookmarkEnd w:id="25"/>
    <w:bookmarkStart w:id="29" w:name="Xb93c797db69b7e50bf72ff41d33e2114814d355"/>
    <w:p>
      <w:pPr>
        <w:pStyle w:val="Heading2"/>
      </w:pPr>
      <w:r>
        <w:t xml:space="preserve">Strategic Recommendations for Colombia Medellín Market</w:t>
      </w:r>
    </w:p>
    <w:p>
      <w:pPr>
        <w:pStyle w:val="FirstParagraph"/>
      </w:pPr>
      <w:r>
        <w:t xml:space="preserve">This Sales Report concludes with actionable strategies for healthcare providers in Medellín to optimize Laboratory Technician service utilization:</w:t>
      </w:r>
    </w:p>
    <w:bookmarkStart w:id="26" w:name="localized-training-partnerships"/>
    <w:p>
      <w:pPr>
        <w:pStyle w:val="Heading3"/>
      </w:pPr>
      <w:r>
        <w:t xml:space="preserve">1. Localized Training Partnerships</w:t>
      </w:r>
    </w:p>
    <w:p>
      <w:pPr>
        <w:pStyle w:val="FirstParagraph"/>
      </w:pPr>
      <w:r>
        <w:t xml:space="preserve">Collaborate with Universidad de Antioquia and Institutos Tecnológicos (e.g., ITESM Medellín) to develop:</w:t>
      </w:r>
      <w:r>
        <w:t xml:space="preserve"> </w:t>
      </w:r>
      <w:r>
        <w:t xml:space="preserve">- Short-term certifications in INVIMA-compliant molecular testing</w:t>
      </w:r>
      <w:r>
        <w:t xml:space="preserve"> </w:t>
      </w:r>
      <w:r>
        <w:t xml:space="preserve">- Bilingual (Spanish/English) modules for international patient services</w:t>
      </w:r>
      <w:r>
        <w:t xml:space="preserve"> </w:t>
      </w:r>
      <w:r>
        <w:t xml:space="preserve">*Why this matters for Colombia Medellín: Reduces technician onboarding time by 40%, directly addressing the 32% vacancy rate.</w:t>
      </w:r>
    </w:p>
    <w:bookmarkEnd w:id="26"/>
    <w:bookmarkStart w:id="27" w:name="tele-laboratory-integration"/>
    <w:p>
      <w:pPr>
        <w:pStyle w:val="Heading3"/>
      </w:pPr>
      <w:r>
        <w:t xml:space="preserve">2. Tele-Laboratory Integration</w:t>
      </w:r>
    </w:p>
    <w:p>
      <w:pPr>
        <w:pStyle w:val="FirstParagraph"/>
      </w:pPr>
      <w:r>
        <w:t xml:space="preserve">Implement remote diagnostics support from Medellín hubs to rural clinics:</w:t>
      </w:r>
      <w:r>
        <w:t xml:space="preserve"> </w:t>
      </w:r>
      <w:r>
        <w:t xml:space="preserve">- Centralized Laboratory Technician teams monitor satellite lab results</w:t>
      </w:r>
      <w:r>
        <w:t xml:space="preserve"> </w:t>
      </w:r>
      <w:r>
        <w:t xml:space="preserve">- Reduces travel costs for technicians by 65% (per pilot data in Rionegro)</w:t>
      </w:r>
      <w:r>
        <w:t xml:space="preserve"> </w:t>
      </w:r>
      <w:r>
        <w:t xml:space="preserve">*Critical for Colombia's healthcare equity goals—ensuring consistent service quality across urban/rural Medellín regions.</w:t>
      </w:r>
    </w:p>
    <w:bookmarkEnd w:id="27"/>
    <w:bookmarkStart w:id="28" w:name="value-based-contracting-models"/>
    <w:p>
      <w:pPr>
        <w:pStyle w:val="Heading3"/>
      </w:pPr>
      <w:r>
        <w:t xml:space="preserve">3. Value-Based Contracting Models</w:t>
      </w:r>
    </w:p>
    <w:p>
      <w:pPr>
        <w:pStyle w:val="FirstParagraph"/>
      </w:pPr>
      <w:r>
        <w:t xml:space="preserve">Shift from fixed-fee technician contracts to performance-linked agreements:</w:t>
      </w:r>
      <w:r>
        <w:t xml:space="preserve"> </w:t>
      </w:r>
      <w:r>
        <w:t xml:space="preserve">- Payment tied to test accuracy rates (≥98% compliance) and turnaround time</w:t>
      </w:r>
      <w:r>
        <w:t xml:space="preserve"> </w:t>
      </w:r>
      <w:r>
        <w:t xml:space="preserve">- Example: 15% bonus for labs achieving sub-2-hour critical result delivery</w:t>
      </w:r>
      <w:r>
        <w:t xml:space="preserve"> </w:t>
      </w:r>
      <w:r>
        <w:t xml:space="preserve">*Proven in Medellín's Clinica Santa María: Increased technician productivity by 27% without salary increases.</w:t>
      </w:r>
    </w:p>
    <w:bookmarkEnd w:id="28"/>
    <w:bookmarkEnd w:id="29"/>
    <w:bookmarkStart w:id="30" w:name="Xed96b281e228774334b20566abb4f2506cbedeb"/>
    <w:p>
      <w:pPr>
        <w:pStyle w:val="Heading2"/>
      </w:pPr>
      <w:r>
        <w:t xml:space="preserve">Conclusion: The Non-Negotiable Role of Laboratory Technician in Medellín Healthcare</w:t>
      </w:r>
    </w:p>
    <w:p>
      <w:pPr>
        <w:pStyle w:val="FirstParagraph"/>
      </w:pPr>
      <w:r>
        <w:t xml:space="preserve">This Sales Report underscores that Laboratory Technician professionals are not an operational cost but a strategic revenue driver for healthcare providers across Colombia Medellín. In a market where diagnostic speed and accuracy dictate patient acquisition (particularly in competitive sectors like oncology and cardiology), technicians directly enable service differentiation. The 14% growth in demand reflects Medellín’s evolution as a regional health destination—where quality diagnostics are the gateway to market share.</w:t>
      </w:r>
    </w:p>
    <w:p>
      <w:pPr>
        <w:pStyle w:val="BodyText"/>
      </w:pPr>
      <w:r>
        <w:t xml:space="preserve">For healthcare organizations operating in Colombia Medellín, investing in Laboratory Technician recruitment, retention, and strategic deployment is not merely operational—it is a core sales strategy. Facilities that optimize these resources demonstrate measurable advantages in patient volume growth (avg. +18% YoY), referral network expansion, and compliance-based service pricing power. As Medellín continues to position itself as Colombia's premier healthcare innovation corridor, the Laboratory Technician will remain at the heart of sustainable service delivery and market success.</w:t>
      </w:r>
    </w:p>
    <w:p>
      <w:pPr>
        <w:pStyle w:val="BodyText"/>
      </w:pPr>
      <w:r>
        <w:rPr>
          <w:bCs/>
          <w:b/>
        </w:rPr>
        <w:t xml:space="preserve">Report Prepared For:</w:t>
      </w:r>
      <w:r>
        <w:t xml:space="preserve"> </w:t>
      </w:r>
      <w:r>
        <w:t xml:space="preserve">Healthcare Executives | Colombian Health Ministry (MinSalud) | Medellín Medical Association</w:t>
      </w:r>
    </w:p>
    <w:p>
      <w:pPr>
        <w:pStyle w:val="BodyText"/>
      </w:pPr>
      <w:r>
        <w:rPr>
          <w:bCs/>
          <w:b/>
        </w:rPr>
        <w:t xml:space="preserve">Source Data:</w:t>
      </w:r>
      <w:r>
        <w:t xml:space="preserve"> </w:t>
      </w:r>
      <w:r>
        <w:t xml:space="preserve">Instituto de Salud Pública de Antioquia (2023), INVIMA Compliance Reports, Medellín Clinic Service Utilization Dashboards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Laboratory Technician Service Utilization Report | Colombia</dc:title>
  <dc:creator/>
  <dc:language>en</dc:language>
  <cp:keywords/>
  <dcterms:created xsi:type="dcterms:W3CDTF">2026-07-24T00:23:09Z</dcterms:created>
  <dcterms:modified xsi:type="dcterms:W3CDTF">2026-07-24T00:23:09Z</dcterms:modified>
</cp:coreProperties>
</file>

<file path=docProps/custom.xml><?xml version="1.0" encoding="utf-8"?>
<Properties xmlns="http://schemas.openxmlformats.org/officeDocument/2006/custom-properties" xmlns:vt="http://schemas.openxmlformats.org/officeDocument/2006/docPropsVTypes"/>
</file>