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Paris,</w:t>
      </w:r>
      <w:r>
        <w:t xml:space="preserve"> </w:t>
      </w:r>
      <w:r>
        <w:t xml:space="preserve">France</w:t>
      </w:r>
    </w:p>
    <w:bookmarkStart w:id="30" w:name="Xaf73c01743857f8f62f0a5f0d4970af8c4fc405"/>
    <w:p>
      <w:pPr>
        <w:pStyle w:val="Heading1"/>
      </w:pPr>
      <w:r>
        <w:t xml:space="preserve">Laboratory Technician Sales Performance Report</w:t>
      </w:r>
    </w:p>
    <w:bookmarkStart w:id="20" w:name="q3-2023---paris-france-operations"/>
    <w:p>
      <w:pPr>
        <w:pStyle w:val="Heading2"/>
      </w:pPr>
      <w:r>
        <w:t xml:space="preserve">Q3 2023 - Paris, France Operations</w:t>
      </w:r>
    </w:p>
    <w:p>
      <w:pPr>
        <w:pStyle w:val="FirstParagraph"/>
      </w:pPr>
      <w:r>
        <w:t xml:space="preserve">Report Date:</w:t>
      </w:r>
    </w:p>
    <w:p>
      <w:pPr>
        <w:pStyle w:val="BodyText"/>
      </w:pPr>
      <w:r>
        <w:t xml:space="preserve">October 26, 2023</w:t>
      </w:r>
    </w:p>
    <w:p>
      <w:pPr>
        <w:pStyle w:val="BodyText"/>
      </w:pPr>
      <w:r>
        <w:t xml:space="preserve">Prepared For:</w:t>
      </w:r>
    </w:p>
    <w:p>
      <w:pPr>
        <w:pStyle w:val="BodyText"/>
      </w:pPr>
      <w:r>
        <w:t xml:space="preserve">Management Committee, Paris Regional Office</w:t>
      </w:r>
    </w:p>
    <w:p>
      <w:pPr>
        <w:pStyle w:val="BodyText"/>
      </w:pPr>
      <w:r>
        <w:t xml:space="preserve">Prepared By:</w:t>
      </w:r>
    </w:p>
    <w:p>
      <w:pPr>
        <w:pStyle w:val="BodyText"/>
      </w:pPr>
      <w:r>
        <w:t xml:space="preserve">Sales &amp; Operations Analytics Department</w:t>
      </w:r>
    </w:p>
    <w:bookmarkEnd w:id="20"/>
    <w:bookmarkStart w:id="21" w:name="executive-summary"/>
    <w:p>
      <w:pPr>
        <w:pStyle w:val="Heading2"/>
      </w:pPr>
      <w:r>
        <w:t xml:space="preserve">1. Executive Summary</w:t>
      </w:r>
    </w:p>
    <w:p>
      <w:pPr>
        <w:pStyle w:val="FirstParagraph"/>
      </w:pPr>
      <w:r>
        <w:t xml:space="preserve">This report details the exceptional sales performance of our Laboratory Technician team within the Paris metropolitan area during Q3 2023. Despite stringent regulatory requirements under French healthcare law (Loi No 86-1067), our technicians have demonstrated remarkable proficiency in driving service adoption while maintaining clinical excellence. The Paris region achieved a 24.7% year-over-year increase in revenue from diagnostic services, directly attributable to the strategic sales initiatives led by our laboratory professionals. This performance significantly exceeds both regional targets (22%) and national averages (18%), cementing our position as market leaders in specialized medical diagnostics within France's competitive healthcare landscape.</w:t>
      </w:r>
    </w:p>
    <w:bookmarkEnd w:id="21"/>
    <w:bookmarkStart w:id="22" w:name="sales-performance-metrics-paris-france"/>
    <w:p>
      <w:pPr>
        <w:pStyle w:val="Heading2"/>
      </w:pPr>
      <w:r>
        <w:t xml:space="preserve">2. Sales Performance Metrics (Paris, France)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Regional Target</w:t>
            </w:r>
          </w:p>
        </w:tc>
      </w:tr>
      <w:tr>
        <w:tc>
          <w:tcPr/>
          <w:p>
            <w:pPr>
              <w:pStyle w:val="Compact"/>
              <w:jc w:val="left"/>
            </w:pPr>
            <w:r>
              <w:t xml:space="preserve">Revenue from Diagnostic Services</w:t>
            </w:r>
          </w:p>
        </w:tc>
        <w:tc>
          <w:tcPr/>
          <w:p>
            <w:pPr>
              <w:pStyle w:val="Compact"/>
              <w:jc w:val="left"/>
            </w:pPr>
            <w:r>
              <w:t xml:space="preserve">€1,875,200</w:t>
            </w:r>
          </w:p>
        </w:tc>
        <w:tc>
          <w:tcPr/>
          <w:p>
            <w:pPr>
              <w:pStyle w:val="Compact"/>
              <w:jc w:val="left"/>
            </w:pPr>
            <w:r>
              <w:t xml:space="preserve">+24.7%</w:t>
            </w:r>
          </w:p>
        </w:tc>
        <w:tc>
          <w:tcPr/>
          <w:p>
            <w:pPr>
              <w:pStyle w:val="Compact"/>
              <w:jc w:val="left"/>
            </w:pPr>
            <w:r>
              <w:t xml:space="preserve">€1,635,400</w:t>
            </w:r>
          </w:p>
        </w:tc>
      </w:tr>
      <w:tr>
        <w:tc>
          <w:tcPr/>
          <w:p>
            <w:pPr>
              <w:pStyle w:val="Compact"/>
              <w:jc w:val="left"/>
            </w:pPr>
            <w:r>
              <w:t xml:space="preserve">New Client Acquisition</w:t>
            </w:r>
          </w:p>
        </w:tc>
        <w:tc>
          <w:tcPr/>
          <w:p>
            <w:pPr>
              <w:pStyle w:val="Compact"/>
              <w:jc w:val="left"/>
            </w:pPr>
            <w:r>
              <w:t xml:space="preserve">37 clinics/hospitals</w:t>
            </w:r>
          </w:p>
        </w:tc>
        <w:tc>
          <w:tcPr/>
          <w:p>
            <w:pPr>
              <w:pStyle w:val="Compact"/>
              <w:jc w:val="left"/>
            </w:pPr>
            <w:r>
              <w:t xml:space="preserve">+32.1%</w:t>
            </w:r>
          </w:p>
        </w:tc>
        <w:tc>
          <w:tcPr/>
          <w:p>
            <w:pPr>
              <w:pStyle w:val="Compact"/>
              <w:jc w:val="left"/>
            </w:pPr>
            <w:r>
              <w:t xml:space="preserve">29 clients</w:t>
            </w:r>
          </w:p>
        </w:tc>
      </w:tr>
      <w:tr>
        <w:tc>
          <w:tcPr/>
          <w:p>
            <w:pPr>
              <w:pStyle w:val="Compact"/>
              <w:jc w:val="left"/>
            </w:pPr>
            <w:r>
              <w:t xml:space="preserve">Cross-Sell Rate</w:t>
            </w:r>
          </w:p>
        </w:tc>
        <w:tc>
          <w:tcPr/>
          <w:p>
            <w:pPr>
              <w:pStyle w:val="Compact"/>
              <w:jc w:val="left"/>
            </w:pPr>
            <w:r>
              <w:t xml:space="preserve">42.6%</w:t>
            </w:r>
          </w:p>
        </w:tc>
        <w:tc>
          <w:tcPr/>
          <w:p>
            <w:pPr>
              <w:pStyle w:val="Compact"/>
              <w:jc w:val="left"/>
            </w:pPr>
            <w:r>
              <w:t xml:space="preserve">+9.3 pts</w:t>
            </w:r>
          </w:p>
        </w:tc>
        <w:tc>
          <w:tcPr/>
          <w:p>
            <w:pPr>
              <w:pStyle w:val="Compact"/>
              <w:jc w:val="left"/>
            </w:pPr>
            <w:r>
              <w:t xml:space="preserve">33.5%</w:t>
            </w:r>
          </w:p>
        </w:tc>
      </w:tr>
      <w:tr>
        <w:tc>
          <w:tcPr/>
          <w:p>
            <w:pPr>
              <w:pStyle w:val="Compact"/>
              <w:jc w:val="left"/>
            </w:pPr>
            <w:r>
              <w:t xml:space="preserve">Client Retention Rate</w:t>
            </w:r>
          </w:p>
        </w:tc>
        <w:tc>
          <w:tcPr/>
          <w:p>
            <w:pPr>
              <w:pStyle w:val="Compact"/>
              <w:jc w:val="left"/>
            </w:pPr>
            <w:r>
              <w:t xml:space="preserve">94.3%</w:t>
            </w:r>
          </w:p>
        </w:tc>
        <w:tc>
          <w:tcPr/>
          <w:p>
            <w:pPr>
              <w:pStyle w:val="Compact"/>
              <w:jc w:val="left"/>
            </w:pPr>
            <w:r>
              <w:t xml:space="preserve">+6.2 pts</w:t>
            </w:r>
          </w:p>
        </w:tc>
        <w:tc>
          <w:tcPr/>
          <w:p>
            <w:pPr>
              <w:pStyle w:val="Compact"/>
              <w:jc w:val="left"/>
            </w:pPr>
            <w:r>
              <w:t xml:space="preserve">87%</w:t>
            </w:r>
          </w:p>
        </w:tc>
      </w:tr>
    </w:tbl>
    <w:bookmarkEnd w:id="22"/>
    <w:bookmarkStart w:id="23" w:name="X4bbffa0cf4934aa8472bce2b6d2e2ff4feb8d4a"/>
    <w:p>
      <w:pPr>
        <w:pStyle w:val="Heading2"/>
      </w:pPr>
      <w:r>
        <w:t xml:space="preserve">3. Key Sales Drivers by Laboratory Technician</w:t>
      </w:r>
    </w:p>
    <w:p>
      <w:pPr>
        <w:pStyle w:val="FirstParagraph"/>
      </w:pPr>
      <w:r>
        <w:t xml:space="preserve">Our Paris-based Laboratory Technicians have uniquely bridged clinical expertise with sales acumen, creating a sustainable competitive advantage in France's healthcare market. Unlike traditional sales roles, our technicians leverage their CQC (Conformité Qualité Clinique) certification to:</w:t>
      </w:r>
    </w:p>
    <w:p>
      <w:pPr>
        <w:numPr>
          <w:ilvl w:val="0"/>
          <w:numId w:val="1001"/>
        </w:numPr>
        <w:pStyle w:val="Compact"/>
      </w:pPr>
      <w:r>
        <w:rPr>
          <w:bCs/>
          <w:b/>
        </w:rPr>
        <w:t xml:space="preserve">Consultative Selling:</w:t>
      </w:r>
      <w:r>
        <w:t xml:space="preserve"> </w:t>
      </w:r>
      <w:r>
        <w:t xml:space="preserve">Technicians identify client needs through technical analysis of existing lab protocols, offering tailored service packages that comply with French regulations (including CNIL data privacy standards)</w:t>
      </w:r>
    </w:p>
    <w:p>
      <w:pPr>
        <w:numPr>
          <w:ilvl w:val="0"/>
          <w:numId w:val="1001"/>
        </w:numPr>
        <w:pStyle w:val="Compact"/>
      </w:pPr>
      <w:r>
        <w:rPr>
          <w:bCs/>
          <w:b/>
        </w:rPr>
        <w:t xml:space="preserve">Technical Validation:</w:t>
      </w:r>
      <w:r>
        <w:t xml:space="preserve"> </w:t>
      </w:r>
      <w:r>
        <w:t xml:space="preserve">92% of new contracts included technical validation sessions where technicians demonstrated how our rapid testing solutions reduced false positives under French clinical guidelines</w:t>
      </w:r>
    </w:p>
    <w:p>
      <w:pPr>
        <w:numPr>
          <w:ilvl w:val="0"/>
          <w:numId w:val="1001"/>
        </w:numPr>
        <w:pStyle w:val="Compact"/>
      </w:pPr>
      <w:r>
        <w:rPr>
          <w:bCs/>
          <w:b/>
        </w:rPr>
        <w:t xml:space="preserve">Compliance Assurance:</w:t>
      </w:r>
      <w:r>
        <w:t xml:space="preserve"> </w:t>
      </w:r>
      <w:r>
        <w:t xml:space="preserve">Direct involvement in demonstrating compliance with AFSSAPS (now ANSM) requirements, eliminating client concerns about regulatory hurdles</w:t>
      </w:r>
    </w:p>
    <w:p>
      <w:pPr>
        <w:numPr>
          <w:ilvl w:val="0"/>
          <w:numId w:val="1001"/>
        </w:numPr>
        <w:pStyle w:val="Compact"/>
      </w:pPr>
      <w:r>
        <w:rPr>
          <w:bCs/>
          <w:b/>
        </w:rPr>
        <w:t xml:space="preserve">Strategic Partnerships:</w:t>
      </w:r>
      <w:r>
        <w:t xml:space="preserve"> </w:t>
      </w:r>
      <w:r>
        <w:t xml:space="preserve">Successful collaboration with Parisian healthcare networks like AP-HP (Assistance Publique - Hôpitaux de Paris) to implement integrated lab service platforms</w:t>
      </w:r>
    </w:p>
    <w:bookmarkEnd w:id="23"/>
    <w:bookmarkStart w:id="26" w:name="paris-specific-market-insights"/>
    <w:p>
      <w:pPr>
        <w:pStyle w:val="Heading2"/>
      </w:pPr>
      <w:r>
        <w:t xml:space="preserve">4. Paris-Specific Market Insights</w:t>
      </w:r>
    </w:p>
    <w:p>
      <w:pPr>
        <w:pStyle w:val="FirstParagraph"/>
      </w:pPr>
      <w:r>
        <w:t xml:space="preserve">The Paris market presents unique dynamics requiring specialized approaches. Our Laboratory Technicians have adapted to:</w:t>
      </w:r>
    </w:p>
    <w:bookmarkStart w:id="24" w:name="regulatory-navigation"/>
    <w:p>
      <w:pPr>
        <w:pStyle w:val="Heading3"/>
      </w:pPr>
      <w:r>
        <w:t xml:space="preserve">Regulatory Navigation</w:t>
      </w:r>
    </w:p>
    <w:p>
      <w:pPr>
        <w:pStyle w:val="FirstParagraph"/>
      </w:pPr>
      <w:r>
        <w:t xml:space="preserve">Technicians successfully navigated France's new healthcare reimbursement system (CMU) changes, creating specialized service bundles that maximized client reimbursements while maintaining our profit margins. This resulted in 68% of new contracts securing optimal reimbursement rates under French social security rules.</w:t>
      </w:r>
    </w:p>
    <w:bookmarkEnd w:id="24"/>
    <w:bookmarkStart w:id="25" w:name="cultural-engagement"/>
    <w:p>
      <w:pPr>
        <w:pStyle w:val="Heading3"/>
      </w:pPr>
      <w:r>
        <w:t xml:space="preserve">Cultural Engagement</w:t>
      </w:r>
    </w:p>
    <w:p>
      <w:pPr>
        <w:pStyle w:val="FirstParagraph"/>
      </w:pPr>
      <w:r>
        <w:t xml:space="preserve">Parisian healthcare providers prioritize personal relationships (la relation). Technicians implemented monthly "Diagnostic Insight Sessions" at client facilities, combining technical training with strategic discussions about hospital budget cycles – a practice adopted by 85% of our top accounts.</w:t>
      </w:r>
    </w:p>
    <w:bookmarkEnd w:id="25"/>
    <w:bookmarkEnd w:id="26"/>
    <w:bookmarkStart w:id="27" w:name="X6e530082cacab6a89f07bb9de42ee6e32e92975"/>
    <w:p>
      <w:pPr>
        <w:pStyle w:val="Heading2"/>
      </w:pPr>
      <w:r>
        <w:t xml:space="preserve">5. Success Case Study: Hôpital Saint-Antoine, Paris</w:t>
      </w:r>
    </w:p>
    <w:p>
      <w:pPr>
        <w:pStyle w:val="FirstParagraph"/>
      </w:pPr>
      <w:r>
        <w:t xml:space="preserve">Our Laboratory Technician Marie Dubois (certified in ISO 15189) transformed a struggling relationship into a €380,000/year partnership. After identifying inefficiencies in the hospital's sepsis testing protocol, she:</w:t>
      </w:r>
    </w:p>
    <w:p>
      <w:pPr>
        <w:numPr>
          <w:ilvl w:val="0"/>
          <w:numId w:val="1002"/>
        </w:numPr>
        <w:pStyle w:val="Compact"/>
      </w:pPr>
      <w:r>
        <w:t xml:space="preserve">Conducted a technical audit of existing procedures (compliant with French Ministry of Health guidelines)</w:t>
      </w:r>
    </w:p>
    <w:p>
      <w:pPr>
        <w:numPr>
          <w:ilvl w:val="0"/>
          <w:numId w:val="1002"/>
        </w:numPr>
        <w:pStyle w:val="Compact"/>
      </w:pPr>
      <w:r>
        <w:t xml:space="preserve">Proposed a customized rapid test solution validated for French clinical standards</w:t>
      </w:r>
    </w:p>
    <w:p>
      <w:pPr>
        <w:numPr>
          <w:ilvl w:val="0"/>
          <w:numId w:val="1002"/>
        </w:numPr>
        <w:pStyle w:val="Compact"/>
      </w:pPr>
      <w:r>
        <w:t xml:space="preserve">Demonstrated 37% faster results with equivalent accuracy to current methods</w:t>
      </w:r>
    </w:p>
    <w:p>
      <w:pPr>
        <w:numPr>
          <w:ilvl w:val="0"/>
          <w:numId w:val="1002"/>
        </w:numPr>
        <w:pStyle w:val="Compact"/>
      </w:pPr>
      <w:r>
        <w:t xml:space="preserve">Coordinated with AP-HP's procurement team on regulatory documentation</w:t>
      </w:r>
    </w:p>
    <w:p>
      <w:pPr>
        <w:pStyle w:val="FirstParagraph"/>
      </w:pPr>
      <w:r>
        <w:t xml:space="preserve">The result: A 22-month contract securing €1.8M in revenue, with the hospital reporting a 31% reduction in emergency department wait times for critical diagnostics – directly improving their French healthcare quality index (QI) score.</w:t>
      </w:r>
    </w:p>
    <w:bookmarkEnd w:id="27"/>
    <w:bookmarkStart w:id="28" w:name="Xb968eadaec2bb16800193598a8e2e83b49ea5e0"/>
    <w:p>
      <w:pPr>
        <w:pStyle w:val="Heading2"/>
      </w:pPr>
      <w:r>
        <w:t xml:space="preserve">6. Strategic Recommendations for France Paris</w:t>
      </w:r>
    </w:p>
    <w:p>
      <w:pPr>
        <w:pStyle w:val="FirstParagraph"/>
      </w:pPr>
      <w:r>
        <w:t xml:space="preserve">Based on our Q3 success, we recommend:</w:t>
      </w:r>
    </w:p>
    <w:p>
      <w:pPr>
        <w:numPr>
          <w:ilvl w:val="0"/>
          <w:numId w:val="1003"/>
        </w:numPr>
        <w:pStyle w:val="Compact"/>
      </w:pPr>
      <w:r>
        <w:rPr>
          <w:bCs/>
          <w:b/>
        </w:rPr>
        <w:t xml:space="preserve">Expand Technician Sales Training:</w:t>
      </w:r>
      <w:r>
        <w:t xml:space="preserve"> </w:t>
      </w:r>
      <w:r>
        <w:t xml:space="preserve">Develop advanced French regulatory sales modules for technicians, focusing on AMM (Autorisation de Mise sur le Marché) processes specific to Paris healthcare institutions</w:t>
      </w:r>
    </w:p>
    <w:p>
      <w:pPr>
        <w:numPr>
          <w:ilvl w:val="0"/>
          <w:numId w:val="1003"/>
        </w:numPr>
        <w:pStyle w:val="Compact"/>
      </w:pPr>
      <w:r>
        <w:rPr>
          <w:bCs/>
          <w:b/>
        </w:rPr>
        <w:t xml:space="preserve">Parisian Innovation Hub:</w:t>
      </w:r>
      <w:r>
        <w:t xml:space="preserve"> </w:t>
      </w:r>
      <w:r>
        <w:t xml:space="preserve">Establish dedicated "Diagnostic Solution Labs" in central Paris facilities where technicians can co-develop services with hospital teams</w:t>
      </w:r>
    </w:p>
    <w:p>
      <w:pPr>
        <w:numPr>
          <w:ilvl w:val="0"/>
          <w:numId w:val="1003"/>
        </w:numPr>
        <w:pStyle w:val="Compact"/>
      </w:pPr>
      <w:r>
        <w:rPr>
          <w:bCs/>
          <w:b/>
        </w:rPr>
        <w:t xml:space="preserve">Cultural Sales Metrics:</w:t>
      </w:r>
      <w:r>
        <w:t xml:space="preserve"> </w:t>
      </w:r>
      <w:r>
        <w:t xml:space="preserve">Integrate French healthcare relationship metrics (e.g., "hospital network penetration rate") into technician KPIs</w:t>
      </w:r>
    </w:p>
    <w:p>
      <w:pPr>
        <w:numPr>
          <w:ilvl w:val="0"/>
          <w:numId w:val="1003"/>
        </w:numPr>
        <w:pStyle w:val="Compact"/>
      </w:pPr>
      <w:r>
        <w:rPr>
          <w:bCs/>
          <w:b/>
        </w:rPr>
        <w:t xml:space="preserve">ANSM Compliance Partnerships:</w:t>
      </w:r>
      <w:r>
        <w:t xml:space="preserve"> </w:t>
      </w:r>
      <w:r>
        <w:t xml:space="preserve">Formalize relationships with France's National Agency for Medicines to co-certify new service packages</w:t>
      </w:r>
    </w:p>
    <w:bookmarkEnd w:id="28"/>
    <w:bookmarkStart w:id="29" w:name="conclusion"/>
    <w:p>
      <w:pPr>
        <w:pStyle w:val="Heading2"/>
      </w:pPr>
      <w:r>
        <w:t xml:space="preserve">7. Conclusion</w:t>
      </w:r>
    </w:p>
    <w:p>
      <w:pPr>
        <w:pStyle w:val="FirstParagraph"/>
      </w:pPr>
      <w:r>
        <w:t xml:space="preserve">The Laboratory Technician role in Paris has evolved into a strategic sales engine that uniquely combines technical mastery with commercial acumen within France's regulated healthcare market. Our technicians' ability to navigate the complexities of French medical regulations while delivering exceptional client value has positioned us as an indispensable partner for Parisian healthcare providers. As we enter Q4 2023, this model will be replicated across our French operations, with a specific focus on expanding our service footprint in Île-de-France. The success in Paris demonstrates that when clinical expertise drives sales strategy – rather than the reverse – organizations achieve sustainable growth that aligns with both business objectives and France's healthcare mission.</w:t>
      </w:r>
    </w:p>
    <w:p>
      <w:pPr>
        <w:pStyle w:val="BodyText"/>
      </w:pPr>
      <w:r>
        <w:rPr>
          <w:iCs/>
          <w:i/>
        </w:rPr>
        <w:t xml:space="preserve">Report prepared in accordance with French commercial reporting standards (Article L. 221-1 of the Consumer Code)</w:t>
      </w:r>
    </w:p>
    <w:p>
      <w:pPr>
        <w:pStyle w:val="BodyText"/>
      </w:pPr>
      <w:r>
        <w:rPr>
          <w:bCs/>
          <w:b/>
        </w:rPr>
        <w:t xml:space="preserve">Confidential - For Paris Regional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Performance Report - Paris, France</dc:title>
  <dc:creator/>
  <dc:language>en</dc:language>
  <cp:keywords/>
  <dcterms:created xsi:type="dcterms:W3CDTF">2025-12-11T17:52:17Z</dcterms:created>
  <dcterms:modified xsi:type="dcterms:W3CDTF">2025-12-11T17:52:17Z</dcterms:modified>
</cp:coreProperties>
</file>

<file path=docProps/custom.xml><?xml version="1.0" encoding="utf-8"?>
<Properties xmlns="http://schemas.openxmlformats.org/officeDocument/2006/custom-properties" xmlns:vt="http://schemas.openxmlformats.org/officeDocument/2006/docPropsVTypes"/>
</file>