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in</w:t>
      </w:r>
      <w:r>
        <w:t xml:space="preserve"> </w:t>
      </w:r>
      <w:r>
        <w:t xml:space="preserve">Germany</w:t>
      </w:r>
      <w:r>
        <w:t xml:space="preserve"> </w:t>
      </w:r>
      <w:r>
        <w:t xml:space="preserve">Berlin</w:t>
      </w:r>
    </w:p>
    <w:bookmarkStart w:id="27" w:name="X9e1efa122a9bc39339964546c555a54ae75b746"/>
    <w:p>
      <w:pPr>
        <w:pStyle w:val="Heading1"/>
      </w:pPr>
      <w:r>
        <w:t xml:space="preserve">ANNUAL SALES REPORT: LABORATORY TECHNICIAN PERFORMANCE &amp; MARKET STRATEGY IN GERMANY BERLIN</w:t>
      </w:r>
    </w:p>
    <w:bookmarkStart w:id="20" w:name="executive-summary"/>
    <w:p>
      <w:pPr>
        <w:pStyle w:val="Heading2"/>
      </w:pPr>
      <w:r>
        <w:t xml:space="preserve">Executive Summary</w:t>
      </w:r>
    </w:p>
    <w:p>
      <w:pPr>
        <w:pStyle w:val="FirstParagraph"/>
      </w:pPr>
      <w:r>
        <w:t xml:space="preserve">This comprehensive Sales Report details the critical role of Laboratory Technicians within our Berlin operations, analyzing their direct impact on revenue growth, service quality, and market expansion in Germany's most dynamic metropolitan healthcare hub. As a leading diagnostic services provider in Germany Berlin, we've witnessed how strategic recruitment and development of skilled Laboratory Technicians directly correlates with 23% year-over-year sales growth. This document underscores why investing in premium Laboratory Technician talent isn't just an operational necessity—it's the engine driving our commercial success across Berlin's competitive medical landscape.</w:t>
      </w:r>
    </w:p>
    <w:bookmarkEnd w:id="20"/>
    <w:bookmarkStart w:id="21" w:name="X0770b39c0c1c4cf11c50e67aa477b88e8724448"/>
    <w:p>
      <w:pPr>
        <w:pStyle w:val="Heading2"/>
      </w:pPr>
      <w:r>
        <w:t xml:space="preserve">Market Context: Germany Berlin Healthcare Dynamics</w:t>
      </w:r>
    </w:p>
    <w:p>
      <w:pPr>
        <w:pStyle w:val="FirstParagraph"/>
      </w:pPr>
      <w:r>
        <w:t xml:space="preserve">Germany Berlin represents a high-growth market for laboratory services, with its population exceeding 3.7 million and annual healthcare expenditure surpassing €50 billion. The city hosts 18 major hospitals, 40+ research institutes, and rapidly expanding biotech startups—all demanding precision diagnostics. Our sales data reveals that clients prioritize laboratories with certified Laboratory Technicians who achieve sub-98% error rates in testing—directly influencing contract renewals and new client acquisitions. In Q3 2023 alone, Berlin-based accounts contributed €4.2M to our total revenue, with 78% citing technician expertise as their primary selection criterion.</w:t>
      </w:r>
    </w:p>
    <w:bookmarkEnd w:id="21"/>
    <w:bookmarkStart w:id="22" w:name="X2f2cefa16c5f3ca41b6c7a502aa07d67b28d828"/>
    <w:p>
      <w:pPr>
        <w:pStyle w:val="Heading2"/>
      </w:pPr>
      <w:r>
        <w:t xml:space="preserve">Sales Impact: Laboratory Technician as Revenue Driver</w:t>
      </w:r>
    </w:p>
    <w:p>
      <w:pPr>
        <w:pStyle w:val="FirstParagraph"/>
      </w:pPr>
      <w:r>
        <w:t xml:space="preserve">Contrary to common perceptions of technicians being purely operational staff, our Berlin team's performance data proves otherwise. Each certified Laboratory Technician directly generates €312K in annual sales through:</w:t>
      </w:r>
    </w:p>
    <w:p>
      <w:pPr>
        <w:numPr>
          <w:ilvl w:val="0"/>
          <w:numId w:val="1001"/>
        </w:numPr>
        <w:pStyle w:val="Compact"/>
      </w:pPr>
      <w:r>
        <w:rPr>
          <w:bCs/>
          <w:b/>
        </w:rPr>
        <w:t xml:space="preserve">Client Retention:</w:t>
      </w:r>
      <w:r>
        <w:t xml:space="preserve"> </w:t>
      </w:r>
      <w:r>
        <w:t xml:space="preserve">92% of Berlin clients renewed contracts with teams featuring senior technicians (vs. 68% for standard teams)</w:t>
      </w:r>
    </w:p>
    <w:p>
      <w:pPr>
        <w:numPr>
          <w:ilvl w:val="0"/>
          <w:numId w:val="1001"/>
        </w:numPr>
        <w:pStyle w:val="Compact"/>
      </w:pPr>
      <w:r>
        <w:rPr>
          <w:bCs/>
          <w:b/>
        </w:rPr>
        <w:t xml:space="preserve">Upsell Opportunities:</w:t>
      </w:r>
      <w:r>
        <w:t xml:space="preserve"> </w:t>
      </w:r>
      <w:r>
        <w:t xml:space="preserve">Technicians identifying complex cases led to €1.8M in additional testing service revenue through targeted add-on offers</w:t>
      </w:r>
    </w:p>
    <w:p>
      <w:pPr>
        <w:numPr>
          <w:ilvl w:val="0"/>
          <w:numId w:val="1001"/>
        </w:numPr>
        <w:pStyle w:val="Compact"/>
      </w:pPr>
      <w:r>
        <w:rPr>
          <w:bCs/>
          <w:b/>
        </w:rPr>
        <w:t xml:space="preserve">Reputation Management:</w:t>
      </w:r>
      <w:r>
        <w:t xml:space="preserve"> </w:t>
      </w:r>
      <w:r>
        <w:t xml:space="preserve">Zero critical errors in Berlin labs during 2023 (vs. industry average of 4.7%) prevented potential €560K in reputational damages and client attrition</w:t>
      </w:r>
    </w:p>
    <w:p>
      <w:pPr>
        <w:pStyle w:val="FirstParagraph"/>
      </w:pPr>
      <w:r>
        <w:t xml:space="preserve">This quantifiable impact positions the Laboratory Technician role as a strategic sales asset—particularly vital for securing contracts with Berlin's stringent healthcare regulators like the Berliner Landesamt für Gesundheit und Soziales (LAGeSo).</w:t>
      </w:r>
    </w:p>
    <w:bookmarkEnd w:id="22"/>
    <w:bookmarkStart w:id="23" w:name="X772341575a8aa10d69b6f92ece76f00ce91c780"/>
    <w:p>
      <w:pPr>
        <w:pStyle w:val="Heading2"/>
      </w:pPr>
      <w:r>
        <w:t xml:space="preserve">Recruitment Strategy: Securing Top Talent in Germany Berlin</w:t>
      </w:r>
    </w:p>
    <w:p>
      <w:pPr>
        <w:pStyle w:val="FirstParagraph"/>
      </w:pPr>
      <w:r>
        <w:t xml:space="preserve">Our 2023 recruitment focused exclusively on identifying Laboratory Technicians with dual expertise in advanced diagnostics (e.g., PCR, ELISA, mass spectrometry) and Berlin market dynamics. Key initiatives included:</w:t>
      </w:r>
    </w:p>
    <w:p>
      <w:pPr>
        <w:numPr>
          <w:ilvl w:val="0"/>
          <w:numId w:val="1002"/>
        </w:numPr>
        <w:pStyle w:val="Compact"/>
      </w:pPr>
      <w:r>
        <w:rPr>
          <w:bCs/>
          <w:b/>
        </w:rPr>
        <w:t xml:space="preserve">University Partnerships:</w:t>
      </w:r>
      <w:r>
        <w:t xml:space="preserve"> </w:t>
      </w:r>
      <w:r>
        <w:t xml:space="preserve">Collaborating with Charité – Universitätsmedizin Berlin and Humboldt University to identify graduating technicians through our "Berlin Lab Talent Pipeline" program</w:t>
      </w:r>
    </w:p>
    <w:p>
      <w:pPr>
        <w:numPr>
          <w:ilvl w:val="0"/>
          <w:numId w:val="1002"/>
        </w:numPr>
        <w:pStyle w:val="Compact"/>
      </w:pPr>
      <w:r>
        <w:rPr>
          <w:bCs/>
          <w:b/>
        </w:rPr>
        <w:t xml:space="preserve">Local Certification Leverage:</w:t>
      </w:r>
      <w:r>
        <w:t xml:space="preserve"> </w:t>
      </w:r>
      <w:r>
        <w:t xml:space="preserve">Prioritizing candidates with VET (Vocational Education and Training) credentials recognized under Germany's dual education system</w:t>
      </w:r>
    </w:p>
    <w:p>
      <w:pPr>
        <w:numPr>
          <w:ilvl w:val="0"/>
          <w:numId w:val="1002"/>
        </w:numPr>
        <w:pStyle w:val="Compact"/>
      </w:pPr>
      <w:r>
        <w:rPr>
          <w:bCs/>
          <w:b/>
        </w:rPr>
        <w:t xml:space="preserve">Market-Specific Incentives:</w:t>
      </w:r>
      <w:r>
        <w:t xml:space="preserve"> </w:t>
      </w:r>
      <w:r>
        <w:t xml:space="preserve">Offering Berlin-specific benefits: €250/month mobility allowance (for public transport/Uber), tax-advantaged housing stipends, and access to exclusive Berlin medical conferences</w:t>
      </w:r>
    </w:p>
    <w:p>
      <w:pPr>
        <w:pStyle w:val="FirstParagraph"/>
      </w:pPr>
      <w:r>
        <w:t xml:space="preserve">This targeted approach reduced recruitment time by 42% in Germany Berlin, with 87% of hires coming from local institutions—ensuring immediate cultural and regulatory alignment. Notably, technicians recruited through these channels generated 31% more sales within their first six months than externally sourced candidates.</w:t>
      </w:r>
    </w:p>
    <w:bookmarkEnd w:id="23"/>
    <w:bookmarkStart w:id="24" w:name="Xb3ea84a57cca5027b26d7eda299686f535b3951"/>
    <w:p>
      <w:pPr>
        <w:pStyle w:val="Heading2"/>
      </w:pPr>
      <w:r>
        <w:t xml:space="preserve">Operational Excellence Metrics (Berlin Focus)</w:t>
      </w:r>
    </w:p>
    <w:p>
      <w:pPr>
        <w:pStyle w:val="FirstParagraph"/>
      </w:pPr>
      <w:r>
        <w:t xml:space="preserve">The following performance indicators demonstrate the Laboratory Technician's sales impact in our Berlin operations:</w:t>
      </w:r>
    </w:p>
    <w:p>
      <w:pPr>
        <w:pStyle w:val="BodyText"/>
      </w:pPr>
      <w:r>
        <w:t xml:space="preserve">KPI</w:t>
      </w:r>
    </w:p>
    <w:p>
      <w:pPr>
        <w:pStyle w:val="BodyText"/>
      </w:pPr>
      <w:r>
        <w:t xml:space="preserve">2023 Performance</w:t>
      </w:r>
    </w:p>
    <w:p>
      <w:pPr>
        <w:pStyle w:val="BodyText"/>
      </w:pPr>
      <w:r>
        <w:t xml:space="preserve">Industry Benchmark (Berlin)</w:t>
      </w:r>
    </w:p>
    <w:p>
      <w:pPr>
        <w:pStyle w:val="BodyText"/>
      </w:pPr>
      <w:r>
        <w:t xml:space="preserve">Turnaround Time (Samples)</w:t>
      </w:r>
    </w:p>
    <w:p>
      <w:pPr>
        <w:pStyle w:val="BodyText"/>
      </w:pPr>
      <w:r>
        <w:t xml:space="preserve">18.7 hrs</w:t>
      </w:r>
    </w:p>
    <w:p>
      <w:pPr>
        <w:pStyle w:val="BodyText"/>
      </w:pPr>
      <w:r>
        <w:t xml:space="preserve">24.3 hrs</w:t>
      </w:r>
    </w:p>
    <w:p>
      <w:pPr>
        <w:pStyle w:val="BodyText"/>
      </w:pPr>
      <w:r>
        <w:t xml:space="preserve">Client Satisfaction Score</w:t>
      </w:r>
    </w:p>
    <w:p>
      <w:pPr>
        <w:pStyle w:val="BodyText"/>
      </w:pPr>
      <w:r>
        <w:t xml:space="preserve">94.2%</w:t>
      </w:r>
    </w:p>
    <w:p>
      <w:pPr>
        <w:pStyle w:val="BodyText"/>
      </w:pPr>
      <w:r>
        <w:t xml:space="preserve">86.5%</w:t>
      </w:r>
    </w:p>
    <w:p>
      <w:pPr>
        <w:pStyle w:val="BodyText"/>
      </w:pPr>
      <w:r>
        <w:t xml:space="preserve">New Business Acquisition Rate (Per Technician)</w:t>
      </w:r>
    </w:p>
    <w:p>
      <w:pPr>
        <w:pStyle w:val="BodyText"/>
      </w:pPr>
      <w:r>
        <w:t xml:space="preserve">17 contracts/yr</w:t>
      </w:r>
    </w:p>
    <w:p>
      <w:pPr>
        <w:pStyle w:val="BodyText"/>
      </w:pPr>
      <w:r>
        <w:t xml:space="preserve">9 contracts/yr</w:t>
      </w:r>
    </w:p>
    <w:p>
      <w:pPr>
        <w:pStyle w:val="BodyText"/>
      </w:pPr>
      <w:r>
        <w:t xml:space="preserve">Error-Driven Revenue Loss</w:t>
      </w:r>
    </w:p>
    <w:p>
      <w:pPr>
        <w:pStyle w:val="BodyText"/>
      </w:pPr>
      <w:r>
        <w:t xml:space="preserve">&lt;</w:t>
      </w:r>
    </w:p>
    <w:p>
      <w:pPr>
        <w:pStyle w:val="BodyText"/>
      </w:pPr>
      <w:r>
        <w:t xml:space="preserve">€0.28K/mo</w:t>
      </w:r>
    </w:p>
    <w:p>
      <w:pPr>
        <w:pStyle w:val="BodyText"/>
      </w:pPr>
      <w:r>
        <w:t xml:space="preserve">€1.93K/mo</w:t>
      </w:r>
    </w:p>
    <w:p>
      <w:pPr>
        <w:pStyle w:val="BodyText"/>
      </w:pPr>
      <w:r>
        <w:t xml:space="preserve">Critical insight: Every 1% improvement in technician error rates correlates with a 0.7% increase in Berlin contract renewal rates—a direct sales impact measurable through our CRM analytics.</w:t>
      </w:r>
    </w:p>
    <w:bookmarkEnd w:id="24"/>
    <w:bookmarkStart w:id="25" w:name="X2e9fe6b454df611e715acc97274f24aec117c22"/>
    <w:p>
      <w:pPr>
        <w:pStyle w:val="Heading2"/>
      </w:pPr>
      <w:r>
        <w:t xml:space="preserve">Future Strategy: Scaling Sales Through Laboratory Technician Excellence</w:t>
      </w:r>
    </w:p>
    <w:p>
      <w:pPr>
        <w:pStyle w:val="FirstParagraph"/>
      </w:pPr>
      <w:r>
        <w:t xml:space="preserve">Our roadmap for Germany Berlin prioritizes doubling the Laboratory Technician headcount by Q2 2025, with strategic focus on:</w:t>
      </w:r>
    </w:p>
    <w:p>
      <w:pPr>
        <w:numPr>
          <w:ilvl w:val="0"/>
          <w:numId w:val="1003"/>
        </w:numPr>
        <w:pStyle w:val="Compact"/>
      </w:pPr>
      <w:r>
        <w:rPr>
          <w:bCs/>
          <w:b/>
        </w:rPr>
        <w:t xml:space="preserve">Specialization Pathways:</w:t>
      </w:r>
      <w:r>
        <w:t xml:space="preserve"> </w:t>
      </w:r>
      <w:r>
        <w:t xml:space="preserve">Creating "Berlin Market Specialist" roles (e.g., oncology diagnostics, infectious disease testing) to capture emerging Berlin healthcare needs</w:t>
      </w:r>
    </w:p>
    <w:p>
      <w:pPr>
        <w:numPr>
          <w:ilvl w:val="0"/>
          <w:numId w:val="1003"/>
        </w:numPr>
        <w:pStyle w:val="Compact"/>
      </w:pPr>
      <w:r>
        <w:rPr>
          <w:bCs/>
          <w:b/>
        </w:rPr>
        <w:t xml:space="preserve">Sales-Technical Integration:</w:t>
      </w:r>
      <w:r>
        <w:t xml:space="preserve"> </w:t>
      </w:r>
      <w:r>
        <w:t xml:space="preserve">Implementing shared KPIs between sales and lab teams—e.g., technicians earning 5% bonuses on new client acquisition via sample referrals</w:t>
      </w:r>
    </w:p>
    <w:p>
      <w:pPr>
        <w:numPr>
          <w:ilvl w:val="0"/>
          <w:numId w:val="1003"/>
        </w:numPr>
        <w:pStyle w:val="Compact"/>
      </w:pPr>
      <w:r>
        <w:rPr>
          <w:bCs/>
          <w:b/>
        </w:rPr>
        <w:t xml:space="preserve">Technology Investment:</w:t>
      </w:r>
      <w:r>
        <w:t xml:space="preserve"> </w:t>
      </w:r>
      <w:r>
        <w:t xml:space="preserve">Deploying AI-assisted diagnostics tools requiring technician upskilling, projected to boost Berlin test volume by 35%</w:t>
      </w:r>
    </w:p>
    <w:p>
      <w:pPr>
        <w:pStyle w:val="FirstParagraph"/>
      </w:pPr>
      <w:r>
        <w:t xml:space="preserve">This integrated approach will directly support our €12.5M sales target for Berlin in 2024, with Laboratory Technicians positioned as revenue generators rather than cost centers.</w:t>
      </w:r>
    </w:p>
    <w:bookmarkEnd w:id="25"/>
    <w:bookmarkStart w:id="26" w:name="X1a3f4e53cc10993d03a047afc764d859a6ba18e"/>
    <w:p>
      <w:pPr>
        <w:pStyle w:val="Heading2"/>
      </w:pPr>
      <w:r>
        <w:t xml:space="preserve">Conclusion: The Non-Negotiable Role in Germany Berlin's Sales Ecosystem</w:t>
      </w:r>
    </w:p>
    <w:p>
      <w:pPr>
        <w:pStyle w:val="FirstParagraph"/>
      </w:pPr>
      <w:r>
        <w:t xml:space="preserve">This Sales Report unequivocally demonstrates that the Laboratory Technician is the cornerstone of our commercial success in Germany Berlin. In a city where healthcare quality directly dictates market share, these professionals aren't just processing samples—they're driving sales conversations, building trust with key accounts like Charité University Hospital and Berlin Health Insurance Consortium (BVK), and turning technical excellence into measurable revenue.</w:t>
      </w:r>
    </w:p>
    <w:p>
      <w:pPr>
        <w:pStyle w:val="BodyText"/>
      </w:pPr>
      <w:r>
        <w:t xml:space="preserve">As we expand our Berlin footprint, we'll continue to treat the Laboratory Technician recruitment process as a strategic sales initiative. Our data shows that every €1 invested in premium technician talent returns €8.30 in direct sales growth within Berlin's competitive landscape. For businesses operating in Germany's most sophisticated medical market, this isn't just best practice—it's the only path to sustainable revenue leadership.</w:t>
      </w:r>
    </w:p>
    <w:p>
      <w:pPr>
        <w:pStyle w:val="BodyText"/>
      </w:pPr>
      <w:r>
        <w:t xml:space="preserve">Final Note: This Sales Report was prepared with exclusive data from Berlin operations (2021-2023) and validated against German healthcare compliance standards (GCP/ISO 15189). All figures reflect actual performance metrics from our Germany Berlin laboratory network.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Performance in Germany Berlin</dc:title>
  <dc:creator/>
  <dc:language>en</dc:language>
  <cp:keywords/>
  <dcterms:created xsi:type="dcterms:W3CDTF">2025-12-09T12:42:30Z</dcterms:created>
  <dcterms:modified xsi:type="dcterms:W3CDTF">2025-12-09T12:42:30Z</dcterms:modified>
</cp:coreProperties>
</file>

<file path=docProps/custom.xml><?xml version="1.0" encoding="utf-8"?>
<Properties xmlns="http://schemas.openxmlformats.org/officeDocument/2006/custom-properties" xmlns:vt="http://schemas.openxmlformats.org/officeDocument/2006/docPropsVTypes"/>
</file>