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Performance</w:t>
      </w:r>
      <w:r>
        <w:t xml:space="preserve"> </w:t>
      </w:r>
      <w:r>
        <w:t xml:space="preserve">in</w:t>
      </w:r>
      <w:r>
        <w:t xml:space="preserve"> </w:t>
      </w:r>
      <w:r>
        <w:t xml:space="preserve">Frankfurt,</w:t>
      </w:r>
      <w:r>
        <w:t xml:space="preserve"> </w:t>
      </w:r>
      <w:r>
        <w:t xml:space="preserve">Germany</w:t>
      </w:r>
    </w:p>
    <w:bookmarkStart w:id="33" w:name="X2ed50d70a8f7e128113977854dc39790323fad1"/>
    <w:p>
      <w:pPr>
        <w:pStyle w:val="Heading1"/>
      </w:pPr>
      <w:r>
        <w:t xml:space="preserve">ANNUAL SALES PERFORMANCE REPORT</w:t>
      </w:r>
      <w:r>
        <w:br/>
      </w:r>
      <w:r>
        <w:t xml:space="preserve">LABORATORY TECHNICIAN DEPARTMENT</w:t>
      </w:r>
      <w:r>
        <w:br/>
      </w:r>
      <w:r>
        <w:t xml:space="preserve">FRANKFURT, GERMANY</w:t>
      </w:r>
    </w:p>
    <w:p>
      <w:pPr>
        <w:pStyle w:val="FirstParagraph"/>
      </w:pPr>
      <w:r>
        <w:t xml:space="preserve">Prepared for Frankfurt Regional Management | Q4 2023 | Confidential</w:t>
      </w:r>
    </w:p>
    <w:bookmarkStart w:id="20" w:name="executive-summary"/>
    <w:p>
      <w:pPr>
        <w:pStyle w:val="Heading2"/>
      </w:pPr>
      <w:r>
        <w:t xml:space="preserve">Executive Summary</w:t>
      </w:r>
    </w:p>
    <w:p>
      <w:pPr>
        <w:pStyle w:val="FirstParagraph"/>
      </w:pPr>
      <w:r>
        <w:t xml:space="preserve">This report details the critical role of Laboratory Technicians in driving sales success within Frankfurt's life sciences ecosystem. As Germany's premier financial and scientific hub, Frankfurt hosts over 150 biotech firms where our Laboratory Technician team directly impacts sales performance through precision testing, regulatory compliance, and quality assurance. This year, their contributions resulted in a</w:t>
      </w:r>
      <w:r>
        <w:t xml:space="preserve"> </w:t>
      </w:r>
      <w:r>
        <w:rPr>
          <w:bCs/>
          <w:b/>
        </w:rPr>
        <w:t xml:space="preserve">12.7% increase in client retention</w:t>
      </w:r>
      <w:r>
        <w:t xml:space="preserve"> </w:t>
      </w:r>
      <w:r>
        <w:t xml:space="preserve">and</w:t>
      </w:r>
      <w:r>
        <w:t xml:space="preserve"> </w:t>
      </w:r>
      <w:r>
        <w:rPr>
          <w:bCs/>
          <w:b/>
        </w:rPr>
        <w:t xml:space="preserve">€8.3M in revenue secured</w:t>
      </w:r>
      <w:r>
        <w:t xml:space="preserve"> </w:t>
      </w:r>
      <w:r>
        <w:t xml:space="preserve">for Frankfurt-based clients—validating their indispensable position at the intersection of laboratory excellence and commercial success.</w:t>
      </w:r>
    </w:p>
    <w:bookmarkEnd w:id="20"/>
    <w:bookmarkStart w:id="21" w:name="X715607f7a87d756a589227f4e83c70416c5ff8f"/>
    <w:p>
      <w:pPr>
        <w:pStyle w:val="Heading2"/>
      </w:pPr>
      <w:r>
        <w:t xml:space="preserve">Market Context: Laboratory Technician Demand in Germany Frankfurt</w:t>
      </w:r>
    </w:p>
    <w:p>
      <w:pPr>
        <w:pStyle w:val="FirstParagraph"/>
      </w:pPr>
      <w:r>
        <w:t xml:space="preserve">Frankfurt's position as Europe's top biotech cluster (home to 30% of Germany's life sciences R&amp;D centers) has intensified demand for skilled Laboratory Technicians. With pharmaceutical sales in the region growing at 7.2% annually (Bundesministerium für Bildung und Forschung, 2023), our technicians serve as the frontline quality gatekeepers ensuring products meet EU Pharmacopoeia standards. This directly translates to sales: 89% of Frankfurt clients prioritize vendors with ISO/IEC 17025-certified labs—a benchmark only achievable through expert Laboratory Technician oversight.</w:t>
      </w:r>
    </w:p>
    <w:bookmarkEnd w:id="21"/>
    <w:bookmarkStart w:id="25" w:name="X1529dbb126a393892efd998c36e49fbc0005970"/>
    <w:p>
      <w:pPr>
        <w:pStyle w:val="Heading2"/>
      </w:pPr>
      <w:r>
        <w:t xml:space="preserve">Laboratory Technician Impact on Sales Performance</w:t>
      </w:r>
    </w:p>
    <w:bookmarkStart w:id="22" w:name="quality-assurance-sales-retention"/>
    <w:p>
      <w:pPr>
        <w:pStyle w:val="Heading3"/>
      </w:pPr>
      <w:r>
        <w:t xml:space="preserve">Quality Assurance = Sales Retention</w:t>
      </w:r>
    </w:p>
    <w:p>
      <w:pPr>
        <w:pStyle w:val="FirstParagraph"/>
      </w:pPr>
      <w:r>
        <w:t xml:space="preserve">Our Frankfurt Laboratory Technicians reduced product rejection rates by 34% this year through rigorous in-process testing. For example, when a major pharmaceutical client faced FDA scrutiny over batch inconsistencies, the Frankfurt team executed rapid root-cause analysis (within 72 hours), preventing a potential €1.8M sales loss and securing an extended contract. This exemplifies how Laboratory Technician precision directly safeguards revenue streams in Germany's competitive market.</w:t>
      </w:r>
    </w:p>
    <w:bookmarkEnd w:id="22"/>
    <w:bookmarkStart w:id="23" w:name="accelerating-client-onboarding"/>
    <w:p>
      <w:pPr>
        <w:pStyle w:val="Heading3"/>
      </w:pPr>
      <w:r>
        <w:t xml:space="preserve">Accelerating Client Onboarding</w:t>
      </w:r>
    </w:p>
    <w:p>
      <w:pPr>
        <w:pStyle w:val="FirstParagraph"/>
      </w:pPr>
      <w:r>
        <w:t xml:space="preserve">By implementing digital lab management systems (validated by our Frankfurt technicians), new client testing timelines decreased by 28%. A key case: The German biotech startup "BioNova Pharma" onboarded in 14 days (vs. industry average of 20) thanks to our technicians' seamless integration of their protocols into Frankfurt's ISO-compliant workflow. This speed-to-market directly contributed to €2.1M in initial sales within the first quarter.</w:t>
      </w:r>
    </w:p>
    <w:bookmarkEnd w:id="23"/>
    <w:bookmarkStart w:id="24" w:name="compliance-as-a-sales-driver"/>
    <w:p>
      <w:pPr>
        <w:pStyle w:val="Heading3"/>
      </w:pPr>
      <w:r>
        <w:t xml:space="preserve">Compliance as a Sales Driver</w:t>
      </w:r>
    </w:p>
    <w:p>
      <w:pPr>
        <w:pStyle w:val="FirstParagraph"/>
      </w:pPr>
      <w:r>
        <w:t xml:space="preserve">In Germany, regulatory non-compliance can cost 20% of annual revenue (European Medicines Agency data). Our Frankfurt Laboratory Technician team achieved 100% audit success across all EU client projects this year. When a major Munich-based client avoided a €500K penalty due to our technicians' proactive documentation of GLP-compliant procedures, they subsequently awarded us their entire European testing portfolio—a €3.4M sales win.</w:t>
      </w:r>
    </w:p>
    <w:bookmarkEnd w:id="24"/>
    <w:bookmarkEnd w:id="25"/>
    <w:bookmarkStart w:id="26" w:name="key-performance-indicators-q1-q4-2023"/>
    <w:p>
      <w:pPr>
        <w:pStyle w:val="Heading2"/>
      </w:pPr>
      <w:r>
        <w:t xml:space="preserve">Key Performance Indicators (Q1-Q4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Q4 Target</w:t>
            </w:r>
          </w:p>
        </w:tc>
        <w:tc>
          <w:tcPr/>
          <w:p>
            <w:pPr>
              <w:pStyle w:val="Compact"/>
              <w:jc w:val="left"/>
            </w:pPr>
            <w:r>
              <w:t xml:space="preserve">Actual Result</w:t>
            </w:r>
          </w:p>
        </w:tc>
        <w:tc>
          <w:tcPr/>
          <w:p>
            <w:pPr>
              <w:pStyle w:val="Compact"/>
              <w:jc w:val="left"/>
            </w:pPr>
            <w:r>
              <w:t xml:space="preserve">Variance</w:t>
            </w:r>
          </w:p>
        </w:tc>
      </w:tr>
      <w:tr>
        <w:tc>
          <w:tcPr/>
          <w:p>
            <w:pPr>
              <w:pStyle w:val="Compact"/>
              <w:jc w:val="left"/>
            </w:pPr>
            <w:r>
              <w:t xml:space="preserve">Client Retention Rate (Frankfurt)</w:t>
            </w:r>
          </w:p>
        </w:tc>
        <w:tc>
          <w:tcPr/>
          <w:p>
            <w:pPr>
              <w:pStyle w:val="Compact"/>
              <w:jc w:val="left"/>
            </w:pPr>
            <w:r>
              <w:t xml:space="preserve">85%</w:t>
            </w:r>
          </w:p>
        </w:tc>
        <w:tc>
          <w:tcPr/>
          <w:p>
            <w:pPr>
              <w:pStyle w:val="Compact"/>
              <w:jc w:val="left"/>
            </w:pPr>
            <w:r>
              <w:t xml:space="preserve">91.3%</w:t>
            </w:r>
          </w:p>
        </w:tc>
        <w:tc>
          <w:tcPr/>
          <w:p>
            <w:pPr>
              <w:pStyle w:val="Compact"/>
              <w:jc w:val="left"/>
            </w:pPr>
            <w:r>
              <w:t xml:space="preserve">+6.3%</w:t>
            </w:r>
          </w:p>
        </w:tc>
      </w:tr>
      <w:tr>
        <w:tc>
          <w:tcPr/>
          <w:p>
            <w:pPr>
              <w:pStyle w:val="Compact"/>
              <w:jc w:val="left"/>
            </w:pPr>
            <w:r>
              <w:t xml:space="preserve">Sales-Driven Testing Volume</w:t>
            </w:r>
          </w:p>
        </w:tc>
        <w:tc>
          <w:tcPr/>
          <w:p>
            <w:pPr>
              <w:pStyle w:val="Compact"/>
              <w:jc w:val="left"/>
            </w:pPr>
            <w:r>
              <w:t xml:space="preserve">4,200 tests</w:t>
            </w:r>
          </w:p>
        </w:tc>
        <w:tc>
          <w:tcPr/>
          <w:p>
            <w:pPr>
              <w:pStyle w:val="Compact"/>
              <w:jc w:val="left"/>
            </w:pPr>
            <w:r>
              <w:t xml:space="preserve">5,182 tests</w:t>
            </w:r>
          </w:p>
        </w:tc>
        <w:tc>
          <w:tcPr/>
          <w:p>
            <w:pPr>
              <w:pStyle w:val="Compact"/>
              <w:jc w:val="left"/>
            </w:pPr>
            <w:r>
              <w:t xml:space="preserve">+23.4%</w:t>
            </w:r>
          </w:p>
        </w:tc>
      </w:tr>
      <w:tr>
        <w:tc>
          <w:tcPr/>
          <w:p>
            <w:pPr>
              <w:pStyle w:val="Compact"/>
              <w:jc w:val="left"/>
            </w:pPr>
            <w:r>
              <w:t xml:space="preserve">Audit Compliance Rate</w:t>
            </w:r>
          </w:p>
        </w:tc>
        <w:tc>
          <w:tcPr/>
          <w:p>
            <w:pPr>
              <w:pStyle w:val="Compact"/>
              <w:jc w:val="left"/>
            </w:pPr>
            <w:r>
              <w:t xml:space="preserve">98%</w:t>
            </w:r>
          </w:p>
        </w:tc>
        <w:tc>
          <w:tcPr/>
          <w:p>
            <w:pPr>
              <w:pStyle w:val="Compact"/>
              <w:jc w:val="left"/>
            </w:pPr>
            <w:r>
              <w:t xml:space="preserve">100%</w:t>
            </w:r>
          </w:p>
        </w:tc>
        <w:tc>
          <w:tcPr/>
          <w:p>
            <w:pPr>
              <w:pStyle w:val="Compact"/>
              <w:jc w:val="left"/>
            </w:pPr>
            <w:r>
              <w:t xml:space="preserve">0%</w:t>
            </w:r>
          </w:p>
        </w:tc>
      </w:tr>
      <w:tr>
        <w:tc>
          <w:tcPr/>
          <w:p>
            <w:pPr>
              <w:pStyle w:val="Compact"/>
              <w:jc w:val="left"/>
            </w:pPr>
            <w:r>
              <w:t xml:space="preserve">Client Satisfaction (NPS)</w:t>
            </w:r>
          </w:p>
        </w:tc>
        <w:tc>
          <w:tcPr/>
          <w:p>
            <w:pPr>
              <w:pStyle w:val="Compact"/>
              <w:jc w:val="left"/>
            </w:pPr>
            <w:r>
              <w:t xml:space="preserve">75</w:t>
            </w:r>
          </w:p>
        </w:tc>
        <w:tc>
          <w:tcPr/>
          <w:p>
            <w:pPr>
              <w:pStyle w:val="Compact"/>
              <w:jc w:val="left"/>
            </w:pPr>
            <w:r>
              <w:t xml:space="preserve">89</w:t>
            </w:r>
          </w:p>
        </w:tc>
        <w:tc>
          <w:tcPr/>
          <w:p>
            <w:pPr>
              <w:pStyle w:val="Compact"/>
              <w:jc w:val="left"/>
            </w:pPr>
            <w:r>
              <w:t xml:space="preserve">+14 pts</w:t>
            </w:r>
          </w:p>
        </w:tc>
      </w:tr>
    </w:tbl>
    <w:bookmarkEnd w:id="26"/>
    <w:bookmarkStart w:id="27" w:name="Xad3ce04985dae86be5a5e9ef5b7561ab61941cd"/>
    <w:p>
      <w:pPr>
        <w:pStyle w:val="Heading2"/>
      </w:pPr>
      <w:r>
        <w:t xml:space="preserve">Strategic Challenges in Germany Frankfurt Market</w:t>
      </w:r>
    </w:p>
    <w:p>
      <w:pPr>
        <w:pStyle w:val="FirstParagraph"/>
      </w:pPr>
      <w:r>
        <w:rPr>
          <w:bCs/>
          <w:b/>
        </w:rPr>
        <w:t xml:space="preserve">Regulatory Complexity:</w:t>
      </w:r>
      <w:r>
        <w:t xml:space="preserve"> </w:t>
      </w:r>
      <w:r>
        <w:t xml:space="preserve">German pharmaceutical regulations (AMG, MPG) require nuanced interpretation. Our Frankfurt Laboratory Technicians resolved 107 regulatory ambiguities this year, preventing potential sales disruptions for clients like Bayer HealthCare and Merck KGaA.</w:t>
      </w:r>
    </w:p>
    <w:p>
      <w:pPr>
        <w:pStyle w:val="BodyText"/>
      </w:pPr>
      <w:r>
        <w:rPr>
          <w:bCs/>
          <w:b/>
        </w:rPr>
        <w:t xml:space="preserve">Talent Shortage:</w:t>
      </w:r>
      <w:r>
        <w:t xml:space="preserve"> </w:t>
      </w:r>
      <w:r>
        <w:t xml:space="preserve">Frankfurt faces a 23% vacancy rate for certified Laboratory Technicians (German Labor Agency, 2023). We mitigated this by establishing partnerships with Frankfurt University of Applied Sciences to create a dedicated training pipeline—resulting in 15 new hires who immediately contributed to sales-focused testing projects.</w:t>
      </w:r>
    </w:p>
    <w:bookmarkEnd w:id="27"/>
    <w:bookmarkStart w:id="31" w:name="action-plan-for-sales-growth-2024"/>
    <w:p>
      <w:pPr>
        <w:pStyle w:val="Heading2"/>
      </w:pPr>
      <w:r>
        <w:t xml:space="preserve">Action Plan for Sales Growth (2024)</w:t>
      </w:r>
    </w:p>
    <w:bookmarkStart w:id="28" w:name="targeted-certification-expansion"/>
    <w:p>
      <w:pPr>
        <w:pStyle w:val="Heading3"/>
      </w:pPr>
      <w:r>
        <w:t xml:space="preserve">1. Targeted Certification Expansion</w:t>
      </w:r>
    </w:p>
    <w:p>
      <w:pPr>
        <w:pStyle w:val="FirstParagraph"/>
      </w:pPr>
      <w:r>
        <w:t xml:space="preserve">Invest €150K in specialized certifications (EU GMP, ISO 17025) for Frankfurt technicians to serve emerging markets like mRNA therapeutics—projected to drive €45M in new sales by 2025.</w:t>
      </w:r>
    </w:p>
    <w:bookmarkEnd w:id="28"/>
    <w:bookmarkStart w:id="29" w:name="frankfurt-client-portal-integration"/>
    <w:p>
      <w:pPr>
        <w:pStyle w:val="Heading3"/>
      </w:pPr>
      <w:r>
        <w:t xml:space="preserve">2. Frankfurt Client Portal Integration</w:t>
      </w:r>
    </w:p>
    <w:p>
      <w:pPr>
        <w:pStyle w:val="FirstParagraph"/>
      </w:pPr>
      <w:r>
        <w:t xml:space="preserve">Launch a real-time testing dashboard (co-developed with our Laboratory Technicians) allowing Frankfurt clients to monitor quality metrics, directly increasing perceived value and reducing churn. Pilot program with 10 key clients expected to boost retention by 8%.</w:t>
      </w:r>
    </w:p>
    <w:bookmarkEnd w:id="29"/>
    <w:bookmarkStart w:id="30" w:name="strategic-sales-technician-collaboration"/>
    <w:p>
      <w:pPr>
        <w:pStyle w:val="Heading3"/>
      </w:pPr>
      <w:r>
        <w:t xml:space="preserve">3. Strategic Sales-Technician Collaboration</w:t>
      </w:r>
    </w:p>
    <w:p>
      <w:pPr>
        <w:pStyle w:val="FirstParagraph"/>
      </w:pPr>
      <w:r>
        <w:t xml:space="preserve">Implement biweekly cross-departmental sessions between Frankfurt Laboratory Technicians and sales teams to align testing protocols with client business goals. Early trials increased lead conversion rates by 17% for complex projects.</w:t>
      </w:r>
    </w:p>
    <w:bookmarkEnd w:id="30"/>
    <w:bookmarkEnd w:id="31"/>
    <w:bookmarkStart w:id="32" w:name="X5c339bf98d328ecee62a80e64a01cce1a000051"/>
    <w:p>
      <w:pPr>
        <w:pStyle w:val="Heading2"/>
      </w:pPr>
      <w:r>
        <w:t xml:space="preserve">Conclusion: The Non-Negotiable Role of Laboratory Technician Excellence</w:t>
      </w:r>
    </w:p>
    <w:p>
      <w:pPr>
        <w:pStyle w:val="FirstParagraph"/>
      </w:pPr>
      <w:r>
        <w:t xml:space="preserve">In Germany's Frankfurt ecosystem, the Laboratory Technician is no longer a support function—it's a strategic sales engine. As evidenced by our 2023 results, technicians who master precision testing directly generate revenue through retention (91.3% rate), risk mitigation (€1.8M saved for BioNova Pharma), and compliance-driven trust (zero audit failures). With Frankfurt’s life sciences market projected to reach €45B by 2026, our Laboratory Technician team will remain the cornerstone of sales success in Germany's most dynamic commercial landscape.</w:t>
      </w:r>
    </w:p>
    <w:p>
      <w:pPr>
        <w:pStyle w:val="BodyText"/>
      </w:pPr>
      <w:r>
        <w:t xml:space="preserve">Investing in this critical role isn't an operational cost—it's the highest-ROI sales strategy in Frankfurt. We recommend full budget allocation for technician development to capture 15%+ market share growth through quality-driven client acquisition by Q4 2024.</w:t>
      </w:r>
    </w:p>
    <w:p>
      <w:pPr>
        <w:pStyle w:val="BodyText"/>
      </w:pPr>
      <w:r>
        <w:rPr>
          <w:bCs/>
          <w:b/>
        </w:rPr>
        <w:t xml:space="preserve">Prepared By:</w:t>
      </w:r>
      <w:r>
        <w:br/>
      </w:r>
      <w:r>
        <w:t xml:space="preserve">Frankfurt Sales Strategy Division</w:t>
      </w:r>
      <w:r>
        <w:br/>
      </w:r>
      <w:r>
        <w:t xml:space="preserve">Germany Operations | Global Life Sciences Solutions</w:t>
      </w:r>
    </w:p>
    <w:p>
      <w:pPr>
        <w:pStyle w:val="BodyText"/>
      </w:pPr>
      <w:r>
        <w:rPr>
          <w:bCs/>
          <w:b/>
        </w:rPr>
        <w:t xml:space="preserve">Disclaimer:</w:t>
      </w:r>
      <w:r>
        <w:t xml:space="preserve"> </w:t>
      </w:r>
      <w:r>
        <w:t xml:space="preserve">This report is based on Frankfurt-specific data (Q1-Q4 2023) and reflects market conditions unique to Germany's premier scientific hub. All figures validated by our Frankfurt Quality Assurance Department.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Laboratory Technician Performance in Frankfurt, Germany</dc:title>
  <dc:creator/>
  <dc:language>en</dc:language>
  <cp:keywords/>
  <dcterms:created xsi:type="dcterms:W3CDTF">2025-12-11T07:48:38Z</dcterms:created>
  <dcterms:modified xsi:type="dcterms:W3CDTF">2025-12-11T07:48:38Z</dcterms:modified>
</cp:coreProperties>
</file>

<file path=docProps/custom.xml><?xml version="1.0" encoding="utf-8"?>
<Properties xmlns="http://schemas.openxmlformats.org/officeDocument/2006/custom-properties" xmlns:vt="http://schemas.openxmlformats.org/officeDocument/2006/docPropsVTypes"/>
</file>