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Analysis</w:t>
      </w:r>
      <w:r>
        <w:t xml:space="preserve"> </w:t>
      </w:r>
      <w:r>
        <w:t xml:space="preserve">-</w:t>
      </w:r>
      <w:r>
        <w:t xml:space="preserve"> </w:t>
      </w:r>
      <w:r>
        <w:t xml:space="preserve">Indonesia</w:t>
      </w:r>
      <w:r>
        <w:t xml:space="preserve"> </w:t>
      </w:r>
      <w:r>
        <w:t xml:space="preserve">Jakarta</w:t>
      </w:r>
      <w:r>
        <w:t xml:space="preserve"> </w:t>
      </w:r>
      <w:r>
        <w:t xml:space="preserve">Market</w:t>
      </w:r>
    </w:p>
    <w:bookmarkStart w:id="29" w:name="X3a04cf44405e458b7fbb82a48ce23ee4674394f"/>
    <w:p>
      <w:pPr>
        <w:pStyle w:val="Heading1"/>
      </w:pPr>
      <w:r>
        <w:t xml:space="preserve">Sales Report: Comprehensive Analysis of Laboratory Technician Recruitment Dynamics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Leadership, Indonesia Jakarta Operations</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Sales Report provides an in-depth analysis of the Laboratory Technician recruitment market within Indonesia Jakarta, a critical hub for medical diagnostics and pharmaceutical innovation. As the demand for skilled laboratory professionals surges in Jakarta's rapidly expanding healthcare sector, this report details current sales performance metrics, emerging market opportunities, and strategic recommendations to optimize recruitment outcomes. With over 120 new Laboratory Technician positions posted by leading hospitals and diagnostic centers in Q3 2023 alone, Jakarta has cemented its position as Indonesia's premier marketplace for clinical lab talent. This Sales Report confirms that effective Laboratory Technician placement directly correlates with healthcare providers' ability to scale operations and maintain service quality standards.</w:t>
      </w:r>
    </w:p>
    <w:bookmarkEnd w:id="20"/>
    <w:bookmarkStart w:id="22" w:name="X58ef4bb9beed857c99fb119d1044c722820aff1"/>
    <w:p>
      <w:pPr>
        <w:pStyle w:val="Heading2"/>
      </w:pPr>
      <w:r>
        <w:t xml:space="preserve">II. Market Context: Laboratory Technician Demand in Indonesia Jakarta</w:t>
      </w:r>
    </w:p>
    <w:p>
      <w:pPr>
        <w:pStyle w:val="FirstParagraph"/>
      </w:pPr>
      <w:r>
        <w:t xml:space="preserve">Indonesia Jakarta stands as the epicenter of Southeast Asia's medical laboratory growth, housing 45% of the nation's specialized diagnostic centers and 63% of pharmaceutical R&amp;D facilities. The Jakarta Metropolitan Area (Jabodetabek) faces an acute shortage of certified Laboratory Technicians, with a current vacancy rate exceeding 28% across accredited facilities. This gap presents a significant sales opportunity for recruitment agencies specializing in healthcare talent acquisition. Notably, the Indonesian Ministry of Health's 2023 directive to upgrade all public health labs has accelerated demand for qualified technicians by 41% year-over-year in Jakarta.</w:t>
      </w:r>
    </w:p>
    <w:bookmarkStart w:id="21" w:name="key-demand-drivers"/>
    <w:p>
      <w:pPr>
        <w:pStyle w:val="Heading3"/>
      </w:pPr>
      <w:r>
        <w:t xml:space="preserve">Key Demand Drivers:</w:t>
      </w:r>
    </w:p>
    <w:p>
      <w:pPr>
        <w:numPr>
          <w:ilvl w:val="0"/>
          <w:numId w:val="1001"/>
        </w:numPr>
        <w:pStyle w:val="Compact"/>
      </w:pPr>
      <w:r>
        <w:rPr>
          <w:bCs/>
          <w:b/>
        </w:rPr>
        <w:t xml:space="preserve">Healthcare Expansion:</w:t>
      </w:r>
      <w:r>
        <w:t xml:space="preserve"> </w:t>
      </w:r>
      <w:r>
        <w:t xml:space="preserve">Jakarta added 17 new diagnostic centers in 2023, requiring 520+ new Lab Technicians</w:t>
      </w:r>
    </w:p>
    <w:p>
      <w:pPr>
        <w:numPr>
          <w:ilvl w:val="0"/>
          <w:numId w:val="1001"/>
        </w:numPr>
        <w:pStyle w:val="Compact"/>
      </w:pPr>
      <w:r>
        <w:rPr>
          <w:bCs/>
          <w:b/>
        </w:rPr>
        <w:t xml:space="preserve">Regulatory Compliance:</w:t>
      </w:r>
      <w:r>
        <w:t xml:space="preserve"> </w:t>
      </w:r>
      <w:r>
        <w:t xml:space="preserve">New ISO 15189 accreditation standards mandate increased technician-to-lab ratios</w:t>
      </w:r>
    </w:p>
    <w:p>
      <w:pPr>
        <w:numPr>
          <w:ilvl w:val="0"/>
          <w:numId w:val="1001"/>
        </w:numPr>
        <w:pStyle w:val="Compact"/>
      </w:pPr>
      <w:r>
        <w:rPr>
          <w:bCs/>
          <w:b/>
        </w:rPr>
        <w:t xml:space="preserve">Pharma Sector Growth:</w:t>
      </w:r>
      <w:r>
        <w:t xml:space="preserve"> </w:t>
      </w:r>
      <w:r>
        <w:t xml:space="preserve">Jakarta-based biotech firms (e.g., PT Kimia Farma, PT Merck) expanded lab operations by 33%</w:t>
      </w:r>
    </w:p>
    <w:bookmarkEnd w:id="21"/>
    <w:bookmarkEnd w:id="22"/>
    <w:bookmarkStart w:id="23" w:name="X31ac0d14a02f43d22662c20ffa296cb19df048a"/>
    <w:p>
      <w:pPr>
        <w:pStyle w:val="Heading2"/>
      </w:pPr>
      <w:r>
        <w:t xml:space="preserve">III. Sales Performance Metrics: Laboratory Technician Placement Data</w:t>
      </w:r>
    </w:p>
    <w:p>
      <w:pPr>
        <w:pStyle w:val="FirstParagraph"/>
      </w:pPr>
      <w:r>
        <w:t xml:space="preserve">This Sales Report tracks our agency's performance against Jakarta market benchmarks for Laboratory Technician roles from Q1–Q3 2023:</w:t>
      </w:r>
    </w:p>
    <w:p>
      <w:pPr>
        <w:pStyle w:val="BodyText"/>
      </w:pPr>
      <w:r>
        <w:t xml:space="preserve">Performance Metric</w:t>
      </w:r>
    </w:p>
    <w:p>
      <w:pPr>
        <w:pStyle w:val="BodyText"/>
      </w:pPr>
      <w:r>
        <w:t xml:space="preserve">Our Agency (Q3)</w:t>
      </w:r>
    </w:p>
    <w:p>
      <w:pPr>
        <w:pStyle w:val="BodyText"/>
      </w:pPr>
      <w:r>
        <w:t xml:space="preserve">Market Average</w:t>
      </w:r>
    </w:p>
    <w:p>
      <w:pPr>
        <w:pStyle w:val="BodyText"/>
      </w:pPr>
      <w:r>
        <w:t xml:space="preserve">Difference</w:t>
      </w:r>
    </w:p>
    <w:p>
      <w:pPr>
        <w:pStyle w:val="BodyText"/>
      </w:pPr>
      <w:r>
        <w:t xml:space="preserve">New Client Acquisition Rate</w:t>
      </w:r>
    </w:p>
    <w:p>
      <w:pPr>
        <w:pStyle w:val="BodyText"/>
      </w:pPr>
      <w:r>
        <w:t xml:space="preserve">27%</w:t>
      </w:r>
    </w:p>
    <w:p>
      <w:pPr>
        <w:pStyle w:val="BodyText"/>
      </w:pPr>
      <w:r>
        <w:t xml:space="preserve">19%</w:t>
      </w:r>
    </w:p>
    <w:p>
      <w:pPr>
        <w:pStyle w:val="BodyText"/>
      </w:pPr>
      <w:r>
        <w:t xml:space="preserve">+8% (vs. market)</w:t>
      </w:r>
    </w:p>
    <w:p>
      <w:pPr>
        <w:pStyle w:val="BodyText"/>
      </w:pPr>
      <w:r>
        <w:t xml:space="preserve">Placement-to-Interview Ratio</w:t>
      </w:r>
    </w:p>
    <w:p>
      <w:pPr>
        <w:pStyle w:val="BodyText"/>
      </w:pPr>
      <w:r>
        <w:t xml:space="preserve">42%</w:t>
      </w:r>
    </w:p>
    <w:p>
      <w:pPr>
        <w:pStyle w:val="BodyText"/>
      </w:pPr>
      <w:r>
        <w:t xml:space="preserve">&lt;</w:t>
      </w:r>
    </w:p>
    <w:p>
      <w:pPr>
        <w:pStyle w:val="BodyText"/>
      </w:pPr>
      <w:r>
        <w:t xml:space="preserve">31%</w:t>
      </w:r>
    </w:p>
    <w:p>
      <w:pPr>
        <w:pStyle w:val="BodyText"/>
      </w:pPr>
      <w:r>
        <w:t xml:space="preserve">Avg. Time-to-Hire</w:t>
      </w:r>
    </w:p>
    <w:p>
      <w:pPr>
        <w:pStyle w:val="BodyText"/>
      </w:pPr>
      <w:r>
        <w:t xml:space="preserve">18 days</w:t>
      </w:r>
    </w:p>
    <w:p>
      <w:pPr>
        <w:pStyle w:val="BodyText"/>
      </w:pPr>
      <w:r>
        <w:t xml:space="preserve">29 days</w:t>
      </w:r>
    </w:p>
    <w:p>
      <w:pPr>
        <w:pStyle w:val="BodyText"/>
      </w:pPr>
      <w:r>
        <w:t xml:space="preserve">-38% (faster)</w:t>
      </w:r>
    </w:p>
    <w:p>
      <w:pPr>
        <w:pStyle w:val="BodyText"/>
      </w:pPr>
      <w:r>
        <w:t xml:space="preserve">Sales Revenue per Placement</w:t>
      </w:r>
    </w:p>
    <w:p>
      <w:pPr>
        <w:pStyle w:val="BodyText"/>
      </w:pPr>
      <w:r>
        <w:t xml:space="preserve">IDR 17.5M</w:t>
      </w:r>
    </w:p>
    <w:p>
      <w:pPr>
        <w:pStyle w:val="BodyText"/>
      </w:pPr>
      <w:r>
        <w:t xml:space="preserve">IDR 14.2M</w:t>
      </w:r>
    </w:p>
    <w:p>
      <w:pPr>
        <w:pStyle w:val="BodyText"/>
      </w:pPr>
      <w:r>
        <w:t xml:space="preserve">+23%</w:t>
      </w:r>
    </w:p>
    <w:p>
      <w:pPr>
        <w:pStyle w:val="BodyText"/>
      </w:pPr>
      <w:r>
        <w:t xml:space="preserve">Notably, our agency achieved a 98% client retention rate among Jakarta-based healthcare clients for Laboratory Technician placements – significantly above the industry average of 85%. This success stems from our specialized understanding of local certification requirements (e.g., Sertifikasi Ahli Laboratorium Kesehatan/Kementerian Kesehatan) and Jakarta's unique labor market nuances.</w:t>
      </w:r>
    </w:p>
    <w:bookmarkEnd w:id="23"/>
    <w:bookmarkStart w:id="24" w:name="iv.-competitive-landscape-analysis"/>
    <w:p>
      <w:pPr>
        <w:pStyle w:val="Heading2"/>
      </w:pPr>
      <w:r>
        <w:t xml:space="preserve">IV. Competitive Landscape Analysis</w:t>
      </w:r>
    </w:p>
    <w:p>
      <w:pPr>
        <w:pStyle w:val="FirstParagraph"/>
      </w:pPr>
      <w:r>
        <w:t xml:space="preserve">In the Indonesia Jakarta recruitment marketplace, competitors typically focus on generic talent solutions. This Sales Report identifies three critical differentiators for our Laboratory Technician placement success:</w:t>
      </w:r>
    </w:p>
    <w:p>
      <w:pPr>
        <w:numPr>
          <w:ilvl w:val="0"/>
          <w:numId w:val="1002"/>
        </w:numPr>
        <w:pStyle w:val="Compact"/>
      </w:pPr>
      <w:r>
        <w:rPr>
          <w:bCs/>
          <w:b/>
        </w:rPr>
        <w:t xml:space="preserve">Local Certification Mapping:</w:t>
      </w:r>
      <w:r>
        <w:t xml:space="preserve"> </w:t>
      </w:r>
      <w:r>
        <w:t xml:space="preserve">We maintain real-time databases of 120+ Jakarta hospitals' specific certification requirements (e.g., Jakarta General Hospital requires Sertifikasi Ahli Laboratorium Kesehatan Level II), reducing mismatch rates by 67%.</w:t>
      </w:r>
    </w:p>
    <w:p>
      <w:pPr>
        <w:numPr>
          <w:ilvl w:val="0"/>
          <w:numId w:val="1002"/>
        </w:numPr>
        <w:pStyle w:val="Compact"/>
      </w:pPr>
      <w:r>
        <w:rPr>
          <w:bCs/>
          <w:b/>
        </w:rPr>
        <w:t xml:space="preserve">Regional Talent Pools:</w:t>
      </w:r>
      <w:r>
        <w:t xml:space="preserve"> </w:t>
      </w:r>
      <w:r>
        <w:t xml:space="preserve">Strategic partnerships with Jakarta universities (Universitas Indonesia, Institut Teknologi Bandung) yield 45% of our qualified candidates – a key advantage over national competitors.</w:t>
      </w:r>
    </w:p>
    <w:p>
      <w:pPr>
        <w:numPr>
          <w:ilvl w:val="0"/>
          <w:numId w:val="1002"/>
        </w:numPr>
        <w:pStyle w:val="Compact"/>
      </w:pPr>
      <w:r>
        <w:rPr>
          <w:bCs/>
          <w:b/>
        </w:rPr>
        <w:t xml:space="preserve">Sales Process Integration:</w:t>
      </w:r>
      <w:r>
        <w:t xml:space="preserve"> </w:t>
      </w:r>
      <w:r>
        <w:t xml:space="preserve">Our Jakarta sales team conducts "pre-qualification" site visits to client facilities, aligning technician skills with specific lab workflows (e.g., hematology vs. microbiology units), boosting client satisfaction by 52%.</w:t>
      </w:r>
    </w:p>
    <w:bookmarkEnd w:id="24"/>
    <w:bookmarkStart w:id="27" w:name="Xfa471ca9ad4184ab8cb83dcfb1e4adfa8a19b88"/>
    <w:p>
      <w:pPr>
        <w:pStyle w:val="Heading2"/>
      </w:pPr>
      <w:r>
        <w:t xml:space="preserve">V. Challenges and Strategic Recommendations</w:t>
      </w:r>
    </w:p>
    <w:p>
      <w:pPr>
        <w:pStyle w:val="FirstParagraph"/>
      </w:pPr>
      <w:r>
        <w:t xml:space="preserve">This Sales Report identifies critical challenges requiring immediate action to capitalize on Jakarta's Laboratory Technician market growth:</w:t>
      </w:r>
    </w:p>
    <w:bookmarkStart w:id="25" w:name="key-challenges"/>
    <w:p>
      <w:pPr>
        <w:pStyle w:val="Heading3"/>
      </w:pPr>
      <w:r>
        <w:t xml:space="preserve">Key Challenges:</w:t>
      </w:r>
    </w:p>
    <w:p>
      <w:pPr>
        <w:numPr>
          <w:ilvl w:val="0"/>
          <w:numId w:val="1003"/>
        </w:numPr>
        <w:pStyle w:val="Compact"/>
      </w:pPr>
      <w:r>
        <w:rPr>
          <w:bCs/>
          <w:b/>
        </w:rPr>
        <w:t xml:space="preserve">Talent Scarcity:</w:t>
      </w:r>
      <w:r>
        <w:t xml:space="preserve"> </w:t>
      </w:r>
      <w:r>
        <w:t xml:space="preserve">Only 14% of Jakarta's 5,800 Lab Technicians hold advanced certifications (e.g., MLS/MT) required for high-complexity testing.</w:t>
      </w:r>
    </w:p>
    <w:p>
      <w:pPr>
        <w:numPr>
          <w:ilvl w:val="0"/>
          <w:numId w:val="1003"/>
        </w:numPr>
        <w:pStyle w:val="Compact"/>
      </w:pPr>
      <w:r>
        <w:rPr>
          <w:bCs/>
          <w:b/>
        </w:rPr>
        <w:t xml:space="preserve">Salary Misalignment:</w:t>
      </w:r>
      <w:r>
        <w:t xml:space="preserve"> </w:t>
      </w:r>
      <w:r>
        <w:t xml:space="preserve">68% of Jakarta clients offer compensation below the new National Medical Laboratory Wage Standard (IDR 12.7M–19.3M/month).</w:t>
      </w:r>
    </w:p>
    <w:p>
      <w:pPr>
        <w:numPr>
          <w:ilvl w:val="0"/>
          <w:numId w:val="1003"/>
        </w:numPr>
        <w:pStyle w:val="Compact"/>
      </w:pPr>
      <w:r>
        <w:rPr>
          <w:bCs/>
          <w:b/>
        </w:rPr>
        <w:t xml:space="preserve">Compliance Gaps:</w:t>
      </w:r>
      <w:r>
        <w:t xml:space="preserve"> </w:t>
      </w:r>
      <w:r>
        <w:t xml:space="preserve">New Jakarta City Government regulations require all lab staff to complete mandatory safety training within 30 days of hire.</w:t>
      </w:r>
    </w:p>
    <w:bookmarkEnd w:id="25"/>
    <w:bookmarkStart w:id="26" w:name="strategic-recommendations"/>
    <w:p>
      <w:pPr>
        <w:pStyle w:val="Heading3"/>
      </w:pPr>
      <w:r>
        <w:t xml:space="preserve">Strategic Recommendations:</w:t>
      </w:r>
    </w:p>
    <w:p>
      <w:pPr>
        <w:numPr>
          <w:ilvl w:val="0"/>
          <w:numId w:val="1004"/>
        </w:numPr>
        <w:pStyle w:val="Compact"/>
      </w:pPr>
      <w:r>
        <w:rPr>
          <w:bCs/>
          <w:b/>
        </w:rPr>
        <w:t xml:space="preserve">Develop Specialized Sales Training:</w:t>
      </w:r>
      <w:r>
        <w:t xml:space="preserve"> </w:t>
      </w:r>
      <w:r>
        <w:t xml:space="preserve">Create Jakarta-specific modules for our sales team covering Jawa Barat's labor laws and Jakarta Health Office compliance protocols. (Target: 100% adoption by Q1 2024)</w:t>
      </w:r>
    </w:p>
    <w:p>
      <w:pPr>
        <w:numPr>
          <w:ilvl w:val="0"/>
          <w:numId w:val="1004"/>
        </w:numPr>
        <w:pStyle w:val="Compact"/>
      </w:pPr>
      <w:r>
        <w:rPr>
          <w:bCs/>
          <w:b/>
        </w:rPr>
        <w:t xml:space="preserve">Launch "Certified Talent" Premium Package:</w:t>
      </w:r>
      <w:r>
        <w:t xml:space="preserve"> </w:t>
      </w:r>
      <w:r>
        <w:t xml:space="preserve">Bundle Sertifikasi Ahli Laboratorium Kesehatan exam preparation with placements at a premium fee, targeting Jakarta's top-tier hospitals. (Projecting 35% revenue uplift)</w:t>
      </w:r>
    </w:p>
    <w:p>
      <w:pPr>
        <w:numPr>
          <w:ilvl w:val="0"/>
          <w:numId w:val="1004"/>
        </w:numPr>
        <w:pStyle w:val="Compact"/>
      </w:pPr>
      <w:r>
        <w:rPr>
          <w:bCs/>
          <w:b/>
        </w:rPr>
        <w:t xml:space="preserve">Build Jakarta Lab Partner Network:</w:t>
      </w:r>
      <w:r>
        <w:t xml:space="preserve"> </w:t>
      </w:r>
      <w:r>
        <w:t xml:space="preserve">Establish formal partnerships with 20+ Jakarta-based diagnostic centers for exclusive talent pipelines. (Initial target: 8 new partnerships by December 2023)</w:t>
      </w:r>
    </w:p>
    <w:bookmarkEnd w:id="26"/>
    <w:bookmarkEnd w:id="27"/>
    <w:bookmarkStart w:id="28" w:name="X08dd3177832f314d12e7f05e33b8ce13d17e0e3"/>
    <w:p>
      <w:pPr>
        <w:pStyle w:val="Heading2"/>
      </w:pPr>
      <w:r>
        <w:t xml:space="preserve">VI. Conclusion: The Future of Laboratory Technician Sales in Indonesia Jakarta</w:t>
      </w:r>
    </w:p>
    <w:p>
      <w:pPr>
        <w:pStyle w:val="FirstParagraph"/>
      </w:pPr>
      <w:r>
        <w:t xml:space="preserve">This comprehensive Sales Report confirms that the Laboratory Technician recruitment market in Indonesia Jakarta is experiencing transformative growth, driven by regulatory shifts and infrastructure expansion. Our agency's superior placement metrics demonstrate that specialized, locally adapted sales strategies yield substantial competitive advantages – particularly when addressing Jakarta's unique certification ecosystem and compliance demands.</w:t>
      </w:r>
    </w:p>
    <w:p>
      <w:pPr>
        <w:pStyle w:val="BodyText"/>
      </w:pPr>
      <w:r>
        <w:t xml:space="preserve">Looking forward, we project a 22% annual increase in Laboratory Technician demand across Jakarta by 2025, creating a USD $18.6M annual market opportunity for specialized recruitment services. To capture this growth, our sales strategy must evolve beyond transactional placements to become an integrated value partner for Jakarta healthcare providers – ensuring that every Laboratory Technician placement directly contributes to client operational excellence and compliance.</w:t>
      </w:r>
    </w:p>
    <w:p>
      <w:pPr>
        <w:pStyle w:val="BodyText"/>
      </w:pPr>
      <w:r>
        <w:t xml:space="preserve">As the most dynamic healthcare talent marketplace in Indonesia, Jakarta demands recruitment partners who understand both the technical requirements of Laboratory Technicians and the intricate business environment of Indonesian medical facilities. This Sales Report positions our agency not merely as a vendor, but as a strategic catalyst for Jakarta's healthcare sector advancement. By implementing these recommendations, we will solidify our market leadership in Indonesia Jakarta's Laboratory Technician recruitment space while driving sustainable revenue growth.</w:t>
      </w:r>
    </w:p>
    <w:p>
      <w:pPr>
        <w:pStyle w:val="BodyText"/>
      </w:pPr>
      <w:r>
        <w:rPr>
          <w:bCs/>
          <w:b/>
        </w:rPr>
        <w:t xml:space="preserve">Prepared by:</w:t>
      </w:r>
      <w:r>
        <w:t xml:space="preserve"> </w:t>
      </w:r>
      <w:r>
        <w:t xml:space="preserve">Global Healthcare Talent Solutions – Jakarta Operations</w:t>
      </w:r>
      <w:r>
        <w:br/>
      </w:r>
      <w:r>
        <w:rPr>
          <w:bCs/>
          <w:b/>
        </w:rPr>
        <w:t xml:space="preserve">Contact:</w:t>
      </w:r>
      <w:r>
        <w:t xml:space="preserve"> </w:t>
      </w:r>
      <w:r>
        <w:t xml:space="preserve">recruitment.jakarta@globalsolutions.id | +62 21 5550 3878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Analysis - Indonesia Jakarta Market</dc:title>
  <dc:creator/>
  <dc:language>en</dc:language>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