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Japan</w:t>
      </w:r>
      <w:r>
        <w:t xml:space="preserve"> </w:t>
      </w:r>
      <w:r>
        <w:t xml:space="preserve">Tokyo</w:t>
      </w:r>
    </w:p>
    <w:bookmarkStart w:id="26" w:name="X74167e8f7eb712647b2da2937a04840634a439f"/>
    <w:p>
      <w:pPr>
        <w:pStyle w:val="Heading1"/>
      </w:pPr>
      <w:r>
        <w:t xml:space="preserve">SALES REPORT: LABORATORY TECHNICIAN RECRUITMENT AND MARKET ANALYSIS IN JAPAN TOKYO</w:t>
      </w:r>
    </w:p>
    <w:p>
      <w:pPr>
        <w:pStyle w:val="FirstParagraph"/>
      </w:pPr>
      <w:r>
        <w:t xml:space="preserve">Prepared for Tokyo Regional Management | Q3 2023 | Confidential</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Laboratory Technician roles within Tokyo's specialized healthcare and pharmaceutical sectors. With Japan's aging population driving unprecedented demand for diagnostic services, the Tokyo laboratory technician market has emerged as a critical growth segment. Our sales team has successfully placed 42 qualified technicians in leading medical facilities across Tokyo during Q3 2023, representing a 27% increase from Q2 and exceeding regional targets by 15%. This report analyzes market drivers, competitive positioning, and actionable recommendations to sustain momentum in Japan's most demanding metropolitan laboratory ecosystem.</w:t>
      </w:r>
    </w:p>
    <w:bookmarkEnd w:id="20"/>
    <w:bookmarkStart w:id="21" w:name="Xf28483788797f1f9efea43ad7bc94ae54d39d8f"/>
    <w:p>
      <w:pPr>
        <w:pStyle w:val="Heading2"/>
      </w:pPr>
      <w:r>
        <w:t xml:space="preserve">Market Analysis: The Tokyo Laboratory Technician Imperative</w:t>
      </w:r>
    </w:p>
    <w:p>
      <w:pPr>
        <w:pStyle w:val="FirstParagraph"/>
      </w:pPr>
      <w:r>
        <w:t xml:space="preserve">Japan's Ministry of Health, Labour and Welfare projects a 35% surge in clinical laboratory demand by 2027, with Tokyo accounting for over 40% of national diagnostic volume. This growth is fueled by three critical factors directly impacting our Laboratory Technician sales strategy:</w:t>
      </w:r>
    </w:p>
    <w:p>
      <w:pPr>
        <w:numPr>
          <w:ilvl w:val="0"/>
          <w:numId w:val="1001"/>
        </w:numPr>
        <w:pStyle w:val="Compact"/>
      </w:pPr>
      <w:r>
        <w:rPr>
          <w:bCs/>
          <w:b/>
        </w:rPr>
        <w:t xml:space="preserve">Demographic Pressure:</w:t>
      </w:r>
      <w:r>
        <w:t xml:space="preserve"> </w:t>
      </w:r>
      <w:r>
        <w:t xml:space="preserve">Tokyo's population density (over 14 million residents) creates acute demand for rapid diagnostic services, particularly in oncology and geriatric care facilities</w:t>
      </w:r>
    </w:p>
    <w:p>
      <w:pPr>
        <w:numPr>
          <w:ilvl w:val="0"/>
          <w:numId w:val="1001"/>
        </w:numPr>
        <w:pStyle w:val="Compact"/>
      </w:pPr>
      <w:r>
        <w:rPr>
          <w:bCs/>
          <w:b/>
        </w:rPr>
        <w:t xml:space="preserve">Regulatory Evolution:</w:t>
      </w:r>
      <w:r>
        <w:t xml:space="preserve"> </w:t>
      </w:r>
      <w:r>
        <w:t xml:space="preserve">New Japan Pharmaceuticals Act mandates enhanced laboratory quality control, elevating technician qualifications from basic to ISO 15189-compliant standards</w:t>
      </w:r>
    </w:p>
    <w:p>
      <w:pPr>
        <w:numPr>
          <w:ilvl w:val="0"/>
          <w:numId w:val="1001"/>
        </w:numPr>
        <w:pStyle w:val="Compact"/>
      </w:pPr>
      <w:r>
        <w:rPr>
          <w:bCs/>
          <w:b/>
        </w:rPr>
        <w:t xml:space="preserve">Technological Acceleration:</w:t>
      </w:r>
      <w:r>
        <w:t xml:space="preserve"> </w:t>
      </w:r>
      <w:r>
        <w:t xml:space="preserve">Tokyo hospitals now deploy AI-powered diagnostic platforms requiring technicians with dual expertise in traditional methods and digital instrumentation</w:t>
      </w:r>
    </w:p>
    <w:p>
      <w:pPr>
        <w:pStyle w:val="FirstParagraph"/>
      </w:pPr>
      <w:r>
        <w:t xml:space="preserve">The competitive landscape reveals significant opportunities. While foreign recruitment agencies struggle with language barriers and certification hurdles, our specialized Tokyo-based team has achieved a 92% placement success rate by leveraging our Japan-specific credentialing partnerships. Notably, 87% of placements were secured through direct partnerships with Tokyo's top-tier institutions: National Cancer Center Tokyo, St. Luke's International Hospital, and RIKEN Advanced Institute for Medical Science.</w:t>
      </w:r>
    </w:p>
    <w:bookmarkEnd w:id="21"/>
    <w:bookmarkStart w:id="22" w:name="sales-performance-breakdown"/>
    <w:p>
      <w:pPr>
        <w:pStyle w:val="Heading2"/>
      </w:pPr>
      <w:r>
        <w:t xml:space="preserve">Sales Performance Breakdown</w:t>
      </w:r>
    </w:p>
    <w:p>
      <w:pPr>
        <w:pStyle w:val="FirstParagraph"/>
      </w:pPr>
      <w:r>
        <w:t xml:space="preserve">Client Segment</w:t>
      </w:r>
    </w:p>
    <w:p>
      <w:pPr>
        <w:pStyle w:val="BodyText"/>
      </w:pPr>
      <w:r>
        <w:t xml:space="preserve">Placements (Q3)</w:t>
      </w:r>
    </w:p>
    <w:p>
      <w:pPr>
        <w:pStyle w:val="BodyText"/>
      </w:pPr>
      <w:r>
        <w:t xml:space="preserve">Placement Rate</w:t>
      </w:r>
    </w:p>
    <w:p>
      <w:pPr>
        <w:pStyle w:val="BodyText"/>
      </w:pPr>
      <w:r>
        <w:t xml:space="preserve">Avg. Salary Offer</w:t>
      </w:r>
    </w:p>
    <w:p>
      <w:pPr>
        <w:pStyle w:val="BodyText"/>
      </w:pPr>
      <w:r>
        <w:t xml:space="preserve">Growth vs Q2</w:t>
      </w:r>
    </w:p>
    <w:p>
      <w:pPr>
        <w:pStyle w:val="BodyText"/>
      </w:pPr>
      <w:r>
        <w:t xml:space="preserve">University Hospitals (Tokyo)</w:t>
      </w:r>
    </w:p>
    <w:p>
      <w:pPr>
        <w:pStyle w:val="BodyText"/>
      </w:pPr>
      <w:r>
        <w:t xml:space="preserve">18</w:t>
      </w:r>
    </w:p>
    <w:p>
      <w:pPr>
        <w:pStyle w:val="BodyText"/>
      </w:pPr>
      <w:r>
        <w:t xml:space="preserve">94%</w:t>
      </w:r>
    </w:p>
    <w:p>
      <w:pPr>
        <w:pStyle w:val="BodyText"/>
      </w:pPr>
      <w:r>
        <w:t xml:space="preserve">¥5.2M/year</w:t>
      </w:r>
    </w:p>
    <w:p>
      <w:pPr>
        <w:pStyle w:val="BodyText"/>
      </w:pPr>
      <w:r>
        <w:t xml:space="preserve">+32%</w:t>
      </w:r>
    </w:p>
    <w:p>
      <w:pPr>
        <w:pStyle w:val="BodyText"/>
      </w:pPr>
      <w:r>
        <w:t xml:space="preserve">Pharmaceutical R&amp;D Centers</w:t>
      </w:r>
    </w:p>
    <w:p>
      <w:pPr>
        <w:pStyle w:val="BodyText"/>
      </w:pPr>
      <w:r>
        <w:t xml:space="preserve">12</w:t>
      </w:r>
    </w:p>
    <w:p>
      <w:pPr>
        <w:pStyle w:val="BodyText"/>
      </w:pPr>
      <w:r>
        <w:t xml:space="preserve">89%</w:t>
      </w:r>
    </w:p>
    <w:p>
      <w:pPr>
        <w:pStyle w:val="BodyText"/>
      </w:pPr>
      <w:r>
        <w:t xml:space="preserve">¥5.8M/year</w:t>
      </w:r>
    </w:p>
    <w:p>
      <w:pPr>
        <w:pStyle w:val="BodyText"/>
      </w:pPr>
      <w:r>
        <w:t xml:space="preserve">+23%</w:t>
      </w:r>
    </w:p>
    <w:p>
      <w:pPr>
        <w:pStyle w:val="BodyText"/>
      </w:pPr>
      <w:r>
        <w:t xml:space="preserve">Clinical Diagnostic Laboratories</w:t>
      </w:r>
    </w:p>
    <w:p>
      <w:pPr>
        <w:pStyle w:val="BodyText"/>
      </w:pPr>
      <w:r>
        <w:t xml:space="preserve">10</w:t>
      </w:r>
    </w:p>
    <w:p>
      <w:pPr>
        <w:pStyle w:val="BodyText"/>
      </w:pPr>
      <w:r>
        <w:t xml:space="preserve">85%</w:t>
      </w:r>
    </w:p>
    <w:p>
      <w:pPr>
        <w:pStyle w:val="BodyText"/>
      </w:pPr>
      <w:r>
        <w:t xml:space="preserve">¥4.9M/year</w:t>
      </w:r>
    </w:p>
    <w:p>
      <w:pPr>
        <w:pStyle w:val="BodyText"/>
      </w:pPr>
      <w:r>
        <w:t xml:space="preserve">+18%</w:t>
      </w:r>
    </w:p>
    <w:p>
      <w:pPr>
        <w:pStyle w:val="BodyText"/>
      </w:pPr>
      <w:r>
        <w:t xml:space="preserve">Key sales differentiators driving our success in Japan Tokyo include:</w:t>
      </w:r>
    </w:p>
    <w:p>
      <w:pPr>
        <w:numPr>
          <w:ilvl w:val="0"/>
          <w:numId w:val="1002"/>
        </w:numPr>
        <w:pStyle w:val="Compact"/>
      </w:pPr>
      <w:r>
        <w:rPr>
          <w:bCs/>
          <w:b/>
        </w:rPr>
        <w:t xml:space="preserve">Certification Integration:</w:t>
      </w:r>
      <w:r>
        <w:t xml:space="preserve"> </w:t>
      </w:r>
      <w:r>
        <w:t xml:space="preserve">We've streamlined NCLT (National Clinical Laboratory Technologist) certification verification processes, reducing onboarding time by 40% in Tokyo facilities</w:t>
      </w:r>
    </w:p>
    <w:p>
      <w:pPr>
        <w:numPr>
          <w:ilvl w:val="0"/>
          <w:numId w:val="1002"/>
        </w:numPr>
        <w:pStyle w:val="Compact"/>
      </w:pPr>
      <w:r>
        <w:rPr>
          <w:bCs/>
          <w:b/>
        </w:rPr>
        <w:t xml:space="preserve">Cultural Alignment Programs:</w:t>
      </w:r>
      <w:r>
        <w:t xml:space="preserve"> </w:t>
      </w:r>
      <w:r>
        <w:t xml:space="preserve">All technicians undergo mandatory Japan workplace etiquette training prior to placement—critical for seamless integration at Tokyo-based institutions</w:t>
      </w:r>
    </w:p>
    <w:p>
      <w:pPr>
        <w:numPr>
          <w:ilvl w:val="0"/>
          <w:numId w:val="1002"/>
        </w:numPr>
        <w:pStyle w:val="Compact"/>
      </w:pPr>
      <w:r>
        <w:rPr>
          <w:bCs/>
          <w:b/>
        </w:rPr>
        <w:t xml:space="preserve">Tokyo-Specific Talent Pools:</w:t>
      </w:r>
      <w:r>
        <w:t xml:space="preserve"> </w:t>
      </w:r>
      <w:r>
        <w:t xml:space="preserve">Strategic partnerships with 7 Japanese universities (including University of Tokyo and Keio) ensure access to the most qualified candidates</w:t>
      </w:r>
    </w:p>
    <w:bookmarkEnd w:id="22"/>
    <w:bookmarkStart w:id="23" w:name="X734ef70f0f389a4352aa2b245160deef63da3e6"/>
    <w:p>
      <w:pPr>
        <w:pStyle w:val="Heading2"/>
      </w:pPr>
      <w:r>
        <w:t xml:space="preserve">Challenges in Japan Tokyo's Laboratory Technician Market</w:t>
      </w:r>
    </w:p>
    <w:p>
      <w:pPr>
        <w:pStyle w:val="FirstParagraph"/>
      </w:pPr>
      <w:r>
        <w:t xml:space="preserve">Despite strong performance, we face three significant challenges unique to Tokyo's market:</w:t>
      </w:r>
    </w:p>
    <w:p>
      <w:pPr>
        <w:numPr>
          <w:ilvl w:val="0"/>
          <w:numId w:val="1003"/>
        </w:numPr>
        <w:pStyle w:val="Compact"/>
      </w:pPr>
      <w:r>
        <w:rPr>
          <w:bCs/>
          <w:b/>
        </w:rPr>
        <w:t xml:space="preserve">Language Barrier Intensification:</w:t>
      </w:r>
      <w:r>
        <w:t xml:space="preserve"> </w:t>
      </w:r>
      <w:r>
        <w:t xml:space="preserve">While 73% of foreign technicians hold JLPT N2 certification, complex medical terminology in Tokyo's specialized labs still requires post-placement language coaching</w:t>
      </w:r>
    </w:p>
    <w:p>
      <w:pPr>
        <w:numPr>
          <w:ilvl w:val="0"/>
          <w:numId w:val="1003"/>
        </w:numPr>
        <w:pStyle w:val="Compact"/>
      </w:pPr>
      <w:r>
        <w:rPr>
          <w:bCs/>
          <w:b/>
        </w:rPr>
        <w:t xml:space="preserve">Certification Recognition Gaps:</w:t>
      </w:r>
      <w:r>
        <w:t xml:space="preserve"> </w:t>
      </w:r>
      <w:r>
        <w:t xml:space="preserve">Foreign credentials face bureaucratic delays in Tokyo—average processing time for overseas qualifications is 4.7 months versus Japan's standard 3 months</w:t>
      </w:r>
    </w:p>
    <w:p>
      <w:pPr>
        <w:numPr>
          <w:ilvl w:val="0"/>
          <w:numId w:val="1003"/>
        </w:numPr>
        <w:pStyle w:val="Compact"/>
      </w:pPr>
      <w:r>
        <w:rPr>
          <w:bCs/>
          <w:b/>
        </w:rPr>
        <w:t xml:space="preserve">Competition for Elite Talent:</w:t>
      </w:r>
      <w:r>
        <w:t xml:space="preserve"> </w:t>
      </w:r>
      <w:r>
        <w:t xml:space="preserve">Top-tier Tokyo labs now offer relocation bonuses (¥2M+) and housing allowances to retain Laboratory Technicians, increasing cost pressure on our placement packages</w:t>
      </w:r>
    </w:p>
    <w:bookmarkEnd w:id="23"/>
    <w:bookmarkStart w:id="24" w:name="Xac42791718958ae311a34258db590f16afca2c5"/>
    <w:p>
      <w:pPr>
        <w:pStyle w:val="Heading2"/>
      </w:pPr>
      <w:r>
        <w:t xml:space="preserve">Strategic Recommendations for Japan Tokyo Operations</w:t>
      </w:r>
    </w:p>
    <w:p>
      <w:pPr>
        <w:pStyle w:val="FirstParagraph"/>
      </w:pPr>
      <w:r>
        <w:t xml:space="preserve">To maintain leadership in Tokyo's Laboratory Technician sales market, we propose the following data-driven initiatives:</w:t>
      </w:r>
    </w:p>
    <w:p>
      <w:pPr>
        <w:numPr>
          <w:ilvl w:val="0"/>
          <w:numId w:val="1004"/>
        </w:numPr>
        <w:pStyle w:val="Compact"/>
      </w:pPr>
      <w:r>
        <w:rPr>
          <w:bCs/>
          <w:b/>
        </w:rPr>
        <w:t xml:space="preserve">Launch Tokyo Certification Accelerator:</w:t>
      </w:r>
      <w:r>
        <w:t xml:space="preserve"> </w:t>
      </w:r>
      <w:r>
        <w:t xml:space="preserve">Partner with Tokyo Medical Association to create a 3-month certification bridge program for international technicians (est. cost: ¥1.8M; ROI in 9 months)</w:t>
      </w:r>
    </w:p>
    <w:p>
      <w:pPr>
        <w:numPr>
          <w:ilvl w:val="0"/>
          <w:numId w:val="1004"/>
        </w:numPr>
        <w:pStyle w:val="Compact"/>
      </w:pPr>
      <w:r>
        <w:rPr>
          <w:bCs/>
          <w:b/>
        </w:rPr>
        <w:t xml:space="preserve">Implement AI-Powered Talent Matching:</w:t>
      </w:r>
      <w:r>
        <w:t xml:space="preserve"> </w:t>
      </w:r>
      <w:r>
        <w:t xml:space="preserve">Integrate machine learning to match technician skill sets with specific Tokyo hospital equipment (e.g., Sysmex XN-550 analyzers at Tokyo Women's Medical University)</w:t>
      </w:r>
    </w:p>
    <w:p>
      <w:pPr>
        <w:numPr>
          <w:ilvl w:val="0"/>
          <w:numId w:val="1004"/>
        </w:numPr>
        <w:pStyle w:val="Compact"/>
      </w:pPr>
      <w:r>
        <w:rPr>
          <w:bCs/>
          <w:b/>
        </w:rPr>
        <w:t xml:space="preserve">Develop Regional Partnerships:</w:t>
      </w:r>
      <w:r>
        <w:t xml:space="preserve"> </w:t>
      </w:r>
      <w:r>
        <w:t xml:space="preserve">Establish "Lab Technician Hubs" in major Tokyo districts (Shinjuku, Minato, Chiyoda) for on-site candidate assessments—reducing travel time by 65% and increasing placement speed</w:t>
      </w:r>
    </w:p>
    <w:p>
      <w:pPr>
        <w:numPr>
          <w:ilvl w:val="0"/>
          <w:numId w:val="1004"/>
        </w:numPr>
        <w:pStyle w:val="Compact"/>
      </w:pPr>
      <w:r>
        <w:rPr>
          <w:bCs/>
          <w:b/>
        </w:rPr>
        <w:t xml:space="preserve">Tax-Incentivized Recruitment Package:</w:t>
      </w:r>
      <w:r>
        <w:t xml:space="preserve"> </w:t>
      </w:r>
      <w:r>
        <w:t xml:space="preserve">Collaborate with Tokyo Metropolitan Government to develop tax-advantaged recruitment packages for foreign Laboratory Technicians (currently under legislative review)</w:t>
      </w:r>
    </w:p>
    <w:bookmarkEnd w:id="24"/>
    <w:bookmarkStart w:id="25" w:name="conclusion"/>
    <w:p>
      <w:pPr>
        <w:pStyle w:val="Heading2"/>
      </w:pPr>
      <w:r>
        <w:t xml:space="preserve">Conclusion</w:t>
      </w:r>
    </w:p>
    <w:p>
      <w:pPr>
        <w:pStyle w:val="FirstParagraph"/>
      </w:pPr>
      <w:r>
        <w:t xml:space="preserve">The Tokyo Laboratory Technician market represents one of Japan's most promising growth corridors for specialized recruitment services. Our Q3 performance validates our strategic pivot toward hyper-localized talent solutions within Tokyo's unique healthcare ecosystem. By addressing certification barriers, enhancing cultural integration, and leveraging Tokyo-specific institutional partnerships, we've positioned ourselves as the preferred sales partner for high-stakes Laboratory Technician placements in Japan's most dynamic metropolitan market.</w:t>
      </w:r>
    </w:p>
    <w:p>
      <w:pPr>
        <w:pStyle w:val="BodyText"/>
      </w:pPr>
      <w:r>
        <w:t xml:space="preserve">Going forward, we project a 35% year-over-year increase in technician placement volume across Tokyo by Q1 2024. This growth trajectory directly supports our corporate objective of capturing 30% market share in Japan's premium laboratory staffing segment. The success of our Tokyo operations serves as the blueprint for expansion into Osaka and Nagoya, but we remain laser-focused on dominating this critical Japanese market where the Laboratory Technician shortage is most acute.</w:t>
      </w:r>
    </w:p>
    <w:p>
      <w:pPr>
        <w:pStyle w:val="BodyText"/>
      </w:pPr>
      <w:r>
        <w:t xml:space="preserve">Prepared by: Global Healthcare Recruitment Team | Tokyo Office</w:t>
      </w:r>
    </w:p>
    <w:p>
      <w:pPr>
        <w:pStyle w:val="BodyText"/>
      </w:pPr>
      <w:r>
        <w:t xml:space="preserve">Date: October 26, 2023 | Page 1 of 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and Market Analysis in Japan Tokyo</dc:title>
  <dc:creator/>
  <cp:keywords/>
  <dcterms:created xsi:type="dcterms:W3CDTF">2026-07-23T07:15:28Z</dcterms:created>
  <dcterms:modified xsi:type="dcterms:W3CDTF">2026-07-23T07:15:28Z</dcterms:modified>
</cp:coreProperties>
</file>

<file path=docProps/custom.xml><?xml version="1.0" encoding="utf-8"?>
<Properties xmlns="http://schemas.openxmlformats.org/officeDocument/2006/custom-properties" xmlns:vt="http://schemas.openxmlformats.org/officeDocument/2006/docPropsVTypes"/>
</file>