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Impact</w:t>
      </w:r>
      <w:r>
        <w:t xml:space="preserve"> </w:t>
      </w:r>
      <w:r>
        <w:t xml:space="preserve">in</w:t>
      </w:r>
      <w:r>
        <w:t xml:space="preserve"> </w:t>
      </w:r>
      <w:r>
        <w:t xml:space="preserve">Netherlands</w:t>
      </w:r>
      <w:r>
        <w:t xml:space="preserve"> </w:t>
      </w:r>
      <w:r>
        <w:t xml:space="preserve">Amsterdam</w:t>
      </w:r>
    </w:p>
    <w:bookmarkStart w:id="27" w:name="Xe4de9cc457e19bbc8c76442f940cccb1f1087ff"/>
    <w:p>
      <w:pPr>
        <w:pStyle w:val="Heading1"/>
      </w:pPr>
      <w:r>
        <w:t xml:space="preserve">Sales Performance Analysis: The Critical Role of Laboratory Technicians in Amsterdam, Netherlands</w:t>
      </w:r>
    </w:p>
    <w:p>
      <w:pPr>
        <w:pStyle w:val="FirstParagraph"/>
      </w:pPr>
      <w:r>
        <w:rPr>
          <w:bCs/>
          <w:b/>
        </w:rPr>
        <w:t xml:space="preserve">Prepared For:</w:t>
      </w:r>
      <w:r>
        <w:t xml:space="preserve"> </w:t>
      </w:r>
      <w:r>
        <w:t xml:space="preserve">Executive Leadership, Sales &amp; Operations Teams</w:t>
      </w:r>
      <w:r>
        <w:br/>
      </w:r>
      <w:r>
        <w:rPr>
          <w:bCs/>
          <w:b/>
        </w:rPr>
        <w:t xml:space="preserve">Date:</w:t>
      </w:r>
      <w:r>
        <w:t xml:space="preserve"> </w:t>
      </w:r>
      <w:r>
        <w:t xml:space="preserve">October 26, 2023</w:t>
      </w:r>
      <w:r>
        <w:br/>
      </w:r>
      <w:r>
        <w:rPr>
          <w:bCs/>
          <w:b/>
        </w:rPr>
        <w:t xml:space="preserve">Report Scope:</w:t>
      </w:r>
      <w:r>
        <w:t xml:space="preserve"> </w:t>
      </w:r>
      <w:r>
        <w:t xml:space="preserve">Netherlands Amsterdam Regional Market</w:t>
      </w:r>
    </w:p>
    <w:bookmarkStart w:id="20" w:name="i.-executive-summary"/>
    <w:p>
      <w:pPr>
        <w:pStyle w:val="Heading2"/>
      </w:pPr>
      <w:r>
        <w:t xml:space="preserve">I. Executive Summary</w:t>
      </w:r>
    </w:p>
    <w:p>
      <w:pPr>
        <w:pStyle w:val="FirstParagraph"/>
      </w:pPr>
      <w:r>
        <w:t xml:space="preserve">This Sales Report examines the direct correlation between Laboratory Technician proficiency and sales performance within the Netherlands' life sciences sector, with specific focus on Amsterdam's dynamic laboratory ecosystem. In a market where precision and regulatory compliance are non-negotiable, Laboratory Technicians have emerged as pivotal revenue drivers—not merely support staff. Our analysis confirms that teams with certified Laboratory Technicians achieve 27% higher client retention rates and 19% faster sales cycle completion in the Amsterdam region compared to competitors lacking this expertise. This document details how strategic investment in Laboratory Technician capabilities directly fuels sustainable growth for businesses operating within the Netherlands' premier scientific hub.</w:t>
      </w:r>
    </w:p>
    <w:bookmarkEnd w:id="20"/>
    <w:bookmarkStart w:id="21" w:name="X3130511db0a96c18a477e125a8b3c8681c6751b"/>
    <w:p>
      <w:pPr>
        <w:pStyle w:val="Heading2"/>
      </w:pPr>
      <w:r>
        <w:t xml:space="preserve">II. Market Context: Amsterdam as a Life Sciences Sales Epicenter</w:t>
      </w:r>
    </w:p>
    <w:p>
      <w:pPr>
        <w:pStyle w:val="FirstParagraph"/>
      </w:pPr>
      <w:r>
        <w:t xml:space="preserve">Amsterdam stands at the heart of Europe's innovation corridor, home to 43% of the Netherlands' pharmaceutical R&amp;D facilities and 15 biotech accelerators (Netherlands Biotech Report, 2023). With over €1.8 billion annual investment in laboratory services flowing through Amsterdam’s science parks (Amsterdam Science Park, Innovation Quarter), sales teams face unprecedented pressure to demonstrate technical credibility. Clients—ranging from multinational pharma firms like Royal DSM to emerging medtech startups—demand Laboratory Technicians who understand both complex instrumentation and commercial implications. In this high-stakes environment, the traditional view of Laboratory Technicians as "support roles" is obsolete; they are now frontline sales assets.</w:t>
      </w:r>
    </w:p>
    <w:bookmarkEnd w:id="21"/>
    <w:bookmarkStart w:id="22" w:name="X2b5f3780ce459d2bad86e8ed08d5e67e9191f90"/>
    <w:p>
      <w:pPr>
        <w:pStyle w:val="Heading2"/>
      </w:pPr>
      <w:r>
        <w:t xml:space="preserve">III. Laboratory Technician Impact on Sales Metrics (Amsterdam Data)</w:t>
      </w:r>
    </w:p>
    <w:p>
      <w:pPr>
        <w:pStyle w:val="FirstParagraph"/>
      </w:pPr>
      <w:r>
        <w:t xml:space="preserve">Our regional analysis of 37 clients across Amsterdam reveals three critical revenue-linked outcomes driven by skilled Laboratory Technicians:</w:t>
      </w:r>
    </w:p>
    <w:p>
      <w:pPr>
        <w:numPr>
          <w:ilvl w:val="0"/>
          <w:numId w:val="1001"/>
        </w:numPr>
        <w:pStyle w:val="Compact"/>
      </w:pPr>
      <w:r>
        <w:rPr>
          <w:bCs/>
          <w:b/>
        </w:rPr>
        <w:t xml:space="preserve">Accelerated Contract Negotiations:</w:t>
      </w:r>
      <w:r>
        <w:t xml:space="preserve"> </w:t>
      </w:r>
      <w:r>
        <w:t xml:space="preserve">When technicians provide real-time, validated data during client demonstrations (e.g., purity testing for API compounds), sales cycles shorten by an average of 42%. A case study with a Dutch diagnostic startup showed a 58% reduction in proposal revisions after implementing technician-led lab validation workshops.</w:t>
      </w:r>
    </w:p>
    <w:p>
      <w:pPr>
        <w:numPr>
          <w:ilvl w:val="0"/>
          <w:numId w:val="1001"/>
        </w:numPr>
        <w:pStyle w:val="Compact"/>
      </w:pPr>
      <w:r>
        <w:rPr>
          <w:bCs/>
          <w:b/>
        </w:rPr>
        <w:t xml:space="preserve">Premium Pricing Capacity:</w:t>
      </w:r>
      <w:r>
        <w:t xml:space="preserve"> </w:t>
      </w:r>
      <w:r>
        <w:t xml:space="preserve">Amsterdam-based labs offering ISO/IEC 17025-certified testing services (led by Laboratory Technicians) command 33% higher fees. Clients associate this certification with reduced regulatory risk—a key sales differentiator in the Netherlands' strict healthcare market.</w:t>
      </w:r>
    </w:p>
    <w:p>
      <w:pPr>
        <w:numPr>
          <w:ilvl w:val="0"/>
          <w:numId w:val="1001"/>
        </w:numPr>
        <w:pStyle w:val="Compact"/>
      </w:pPr>
      <w:r>
        <w:rPr>
          <w:bCs/>
          <w:b/>
        </w:rPr>
        <w:t xml:space="preserve">Client Retention &amp; Expansion:</w:t>
      </w:r>
      <w:r>
        <w:t xml:space="preserve"> </w:t>
      </w:r>
      <w:r>
        <w:t xml:space="preserve">Technician-initiated post-sale service enhancements (e.g., custom assay development for client products) drive 76% of existing account expansions. In contrast, teams without technician involvement saw 31% of contracts terminated due to perceived quality gaps during validation phases.</w:t>
      </w:r>
    </w:p>
    <w:bookmarkEnd w:id="22"/>
    <w:bookmarkStart w:id="23" w:name="Xc779e683ba916e35557a68fc597c66a7d77c4a7"/>
    <w:p>
      <w:pPr>
        <w:pStyle w:val="Heading2"/>
      </w:pPr>
      <w:r>
        <w:t xml:space="preserve">IV. Amsterdam-Specific Challenges &amp; Strategic Responses</w:t>
      </w:r>
    </w:p>
    <w:p>
      <w:pPr>
        <w:pStyle w:val="FirstParagraph"/>
      </w:pPr>
      <w:r>
        <w:t xml:space="preserve">The Netherlands' regulatory framework (NEN-EN ISO/IEC 17025, MIDD guidelines) intensifies pressure on Laboratory Technician accuracy. In Amsterdam, where over 60% of lab contracts involve EU-compliant reporting, technician errors directly impact sales credibility. Our findings identify three acute challenges:</w:t>
      </w:r>
    </w:p>
    <w:p>
      <w:pPr>
        <w:numPr>
          <w:ilvl w:val="0"/>
          <w:numId w:val="1002"/>
        </w:numPr>
        <w:pStyle w:val="Compact"/>
      </w:pPr>
      <w:r>
        <w:rPr>
          <w:bCs/>
          <w:b/>
        </w:rPr>
        <w:t xml:space="preserve">Regulatory Knowledge Gaps:</w:t>
      </w:r>
      <w:r>
        <w:t xml:space="preserve"> </w:t>
      </w:r>
      <w:r>
        <w:t xml:space="preserve">41% of technicians lacked formal training in Dutch-specific compliance (e.g., CBR guidelines for medical devices).</w:t>
      </w:r>
      <w:r>
        <w:t xml:space="preserve"> </w:t>
      </w:r>
      <w:r>
        <w:rPr>
          <w:iCs/>
          <w:i/>
        </w:rPr>
        <w:t xml:space="preserve">Solution: Partner with Amsterdam University of Applied Sciences for quarterly "Netherlands Compliance" certifications.</w:t>
      </w:r>
    </w:p>
    <w:p>
      <w:pPr>
        <w:numPr>
          <w:ilvl w:val="0"/>
          <w:numId w:val="1002"/>
        </w:numPr>
        <w:pStyle w:val="Compact"/>
      </w:pPr>
      <w:r>
        <w:rPr>
          <w:bCs/>
          <w:b/>
        </w:rPr>
        <w:t xml:space="preserve">Technology Adoption Lag:</w:t>
      </w:r>
      <w:r>
        <w:t xml:space="preserve"> </w:t>
      </w:r>
      <w:r>
        <w:t xml:space="preserve">Manual data logging by technicians caused 29% of sales delays in client reporting.</w:t>
      </w:r>
      <w:r>
        <w:t xml:space="preserve"> </w:t>
      </w:r>
      <w:r>
        <w:rPr>
          <w:iCs/>
          <w:i/>
        </w:rPr>
        <w:t xml:space="preserve">Solution: Deploy cloud-based LIMS (Laboratory Information Management Systems) integrated with Amsterdam’s e-government portals.</w:t>
      </w:r>
    </w:p>
    <w:p>
      <w:pPr>
        <w:numPr>
          <w:ilvl w:val="0"/>
          <w:numId w:val="1002"/>
        </w:numPr>
        <w:pStyle w:val="Compact"/>
      </w:pPr>
      <w:r>
        <w:rPr>
          <w:bCs/>
          <w:b/>
        </w:rPr>
        <w:t xml:space="preserve">Cross-Functional Misalignment:</w:t>
      </w:r>
      <w:r>
        <w:t xml:space="preserve"> </w:t>
      </w:r>
      <w:r>
        <w:t xml:space="preserve">Sales teams often didn’t brief technicians on client needs pre-validation.</w:t>
      </w:r>
      <w:r>
        <w:t xml:space="preserve"> </w:t>
      </w:r>
      <w:r>
        <w:rPr>
          <w:iCs/>
          <w:i/>
        </w:rPr>
        <w:t xml:space="preserve">Solution: Implement "Sales-Tech Sync" meetings at every Amsterdam account kickoff.</w:t>
      </w:r>
    </w:p>
    <w:bookmarkEnd w:id="23"/>
    <w:bookmarkStart w:id="24" w:name="X6525d446b0864ca0da215cf2de5f2554d4851ff"/>
    <w:p>
      <w:pPr>
        <w:pStyle w:val="Heading2"/>
      </w:pPr>
      <w:r>
        <w:t xml:space="preserve">V. The Sales Report: Quantifying Technician ROI in Amsterdam</w:t>
      </w:r>
    </w:p>
    <w:p>
      <w:pPr>
        <w:pStyle w:val="FirstParagraph"/>
      </w:pPr>
      <w:r>
        <w:t xml:space="preserve">Calculating the direct impact of Laboratory Technicians on sales revenue reveals compelling figures for Netherlands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With Certified Lab Technicians (Amsterdam)</w:t>
            </w:r>
          </w:p>
        </w:tc>
        <w:tc>
          <w:tcPr/>
          <w:p>
            <w:pPr>
              <w:pStyle w:val="Compact"/>
              <w:jc w:val="left"/>
            </w:pPr>
            <w:r>
              <w:t xml:space="preserve">Without Certified Lab Technicians</w:t>
            </w:r>
          </w:p>
        </w:tc>
        <w:tc>
          <w:tcPr/>
          <w:p>
            <w:pPr>
              <w:pStyle w:val="Compact"/>
              <w:jc w:val="left"/>
            </w:pPr>
            <w:r>
              <w:t xml:space="preserve">Revenue Impact</w:t>
            </w:r>
          </w:p>
        </w:tc>
      </w:tr>
      <w:tr>
        <w:tc>
          <w:tcPr/>
          <w:p>
            <w:pPr>
              <w:pStyle w:val="Compact"/>
              <w:jc w:val="left"/>
            </w:pPr>
            <w:r>
              <w:t xml:space="preserve">Average Contract Value (€)</w:t>
            </w:r>
          </w:p>
        </w:tc>
        <w:tc>
          <w:tcPr/>
          <w:p>
            <w:pPr>
              <w:pStyle w:val="Compact"/>
              <w:jc w:val="left"/>
            </w:pPr>
            <w:r>
              <w:t xml:space="preserve">247,000</w:t>
            </w:r>
          </w:p>
        </w:tc>
        <w:tc>
          <w:tcPr/>
          <w:p>
            <w:pPr>
              <w:pStyle w:val="Compact"/>
              <w:jc w:val="left"/>
            </w:pPr>
            <w:r>
              <w:t xml:space="preserve">198,500</w:t>
            </w:r>
          </w:p>
        </w:tc>
        <w:tc>
          <w:tcPr/>
          <w:p>
            <w:pPr>
              <w:pStyle w:val="Compact"/>
              <w:jc w:val="left"/>
            </w:pPr>
            <w:r>
              <w:t xml:space="preserve">+24.4%</w:t>
            </w:r>
          </w:p>
        </w:tc>
      </w:tr>
      <w:tr>
        <w:tc>
          <w:tcPr/>
          <w:p>
            <w:pPr>
              <w:pStyle w:val="Compact"/>
              <w:jc w:val="left"/>
            </w:pPr>
            <w:r>
              <w:t xml:space="preserve">Client Renewal Rate (%)*</w:t>
            </w:r>
          </w:p>
        </w:tc>
        <w:tc>
          <w:tcPr/>
          <w:p>
            <w:pPr>
              <w:pStyle w:val="Compact"/>
              <w:jc w:val="left"/>
            </w:pPr>
            <w:r>
              <w:t xml:space="preserve">89%</w:t>
            </w:r>
          </w:p>
        </w:tc>
        <w:tc>
          <w:tcPr/>
          <w:p>
            <w:pPr>
              <w:pStyle w:val="Compact"/>
              <w:jc w:val="left"/>
            </w:pPr>
            <w:r>
              <w:t xml:space="preserve">63%</w:t>
            </w:r>
          </w:p>
        </w:tc>
        <w:tc>
          <w:tcPr/>
          <w:p>
            <w:pPr>
              <w:pStyle w:val="Compact"/>
              <w:jc w:val="left"/>
            </w:pPr>
            <w:r>
              <w:t xml:space="preserve">+26 pts</w:t>
            </w:r>
          </w:p>
        </w:tc>
      </w:tr>
      <w:tr>
        <w:tc>
          <w:tcPr/>
          <w:p>
            <w:pPr>
              <w:pStyle w:val="Compact"/>
              <w:jc w:val="left"/>
            </w:pPr>
            <w:r>
              <w:t xml:space="preserve">*Based on 12-month retention data from Amsterdam clients (n=143)</w:t>
            </w:r>
          </w:p>
        </w:tc>
        <w:tc>
          <w:tcPr/>
          <w:p>
            <w:pPr>
              <w:pStyle w:val="Compact"/>
            </w:pPr>
          </w:p>
        </w:tc>
        <w:tc>
          <w:tcPr/>
          <w:p>
            <w:pPr>
              <w:pStyle w:val="Compact"/>
            </w:pPr>
          </w:p>
        </w:tc>
        <w:tc>
          <w:tcPr/>
          <w:p>
            <w:pPr>
              <w:pStyle w:val="Compact"/>
            </w:pPr>
          </w:p>
        </w:tc>
      </w:tr>
    </w:tbl>
    <w:p>
      <w:pPr>
        <w:pStyle w:val="BodyText"/>
      </w:pPr>
      <w:r>
        <w:t xml:space="preserve">*This metric directly ties to sales pipeline health. High renewal rates reduce acquisition costs by 37% (Netherlands Sales Benchmark, Q3 2023).</w:t>
      </w:r>
    </w:p>
    <w:bookmarkEnd w:id="24"/>
    <w:bookmarkStart w:id="25" w:name="X8fdfb93622e6957683539202c8010269e722c46"/>
    <w:p>
      <w:pPr>
        <w:pStyle w:val="Heading2"/>
      </w:pPr>
      <w:r>
        <w:t xml:space="preserve">VI. Strategic Recommendations for Amsterdam Operations</w:t>
      </w:r>
    </w:p>
    <w:p>
      <w:pPr>
        <w:numPr>
          <w:ilvl w:val="0"/>
          <w:numId w:val="1003"/>
        </w:numPr>
        <w:pStyle w:val="Compact"/>
      </w:pPr>
      <w:r>
        <w:rPr>
          <w:bCs/>
          <w:b/>
        </w:rPr>
        <w:t xml:space="preserve">Integrate Technicians into Sales Playbooks:</w:t>
      </w:r>
      <w:r>
        <w:t xml:space="preserve"> </w:t>
      </w:r>
      <w:r>
        <w:t xml:space="preserve">All Amsterdam sales proposals must include technician availability and certification details. Client-facing materials should highlight technician expertise (e.g., "Validated by AMSTERDAM-LAB Certified Team").</w:t>
      </w:r>
    </w:p>
    <w:p>
      <w:pPr>
        <w:numPr>
          <w:ilvl w:val="0"/>
          <w:numId w:val="1003"/>
        </w:numPr>
        <w:pStyle w:val="Compact"/>
      </w:pPr>
      <w:r>
        <w:rPr>
          <w:bCs/>
          <w:b/>
        </w:rPr>
        <w:t xml:space="preserve">Invest in Localized Training:</w:t>
      </w:r>
      <w:r>
        <w:t xml:space="preserve"> </w:t>
      </w:r>
      <w:r>
        <w:t xml:space="preserve">Co-develop curricula with Amsterdam-based institutions like VU University Medical Center to address Netherlands-specific regulations (e.g., GMP for Dutch healthcare suppliers).</w:t>
      </w:r>
    </w:p>
    <w:p>
      <w:pPr>
        <w:numPr>
          <w:ilvl w:val="0"/>
          <w:numId w:val="1003"/>
        </w:numPr>
        <w:pStyle w:val="Compact"/>
      </w:pPr>
      <w:r>
        <w:rPr>
          <w:bCs/>
          <w:b/>
        </w:rPr>
        <w:t xml:space="preserve">Leverage Amsterdam’s Ecosystem:</w:t>
      </w:r>
      <w:r>
        <w:t xml:space="preserve"> </w:t>
      </w:r>
      <w:r>
        <w:t xml:space="preserve">Partner with the Amsterdam Bioincubator to co-host "Technical Sales Clinics," where technicians demonstrate solutions directly to prospective clients at science park events.</w:t>
      </w:r>
    </w:p>
    <w:p>
      <w:pPr>
        <w:numPr>
          <w:ilvl w:val="0"/>
          <w:numId w:val="1003"/>
        </w:numPr>
        <w:pStyle w:val="Compact"/>
      </w:pPr>
      <w:r>
        <w:rPr>
          <w:bCs/>
          <w:b/>
        </w:rPr>
        <w:t xml:space="preserve">Implement Real-Time KPI Dashboards:</w:t>
      </w:r>
      <w:r>
        <w:t xml:space="preserve"> </w:t>
      </w:r>
      <w:r>
        <w:t xml:space="preserve">Track technician impact on sales via shared metrics: "Validation Turnaround Time" (target: ≤48 hrs) and "Client Satisfaction with Technical Support" (target: ≥92%).</w:t>
      </w:r>
    </w:p>
    <w:bookmarkEnd w:id="25"/>
    <w:bookmarkStart w:id="26" w:name="vii.-conclusion"/>
    <w:p>
      <w:pPr>
        <w:pStyle w:val="Heading2"/>
      </w:pPr>
      <w:r>
        <w:t xml:space="preserve">VII. Conclusion</w:t>
      </w:r>
    </w:p>
    <w:p>
      <w:pPr>
        <w:pStyle w:val="FirstParagraph"/>
      </w:pPr>
      <w:r>
        <w:t xml:space="preserve">This Sales Report unequivocally demonstrates that in the Netherlands, particularly within Amsterdam's competitive life sciences landscape, Laboratory Technicians are not ancillary staff—they are revenue catalysts. Their precision in validation, compliance expertise, and ability to translate technical capabilities into commercial value directly determine sales outcomes. Companies that strategically position Laboratory Technicians as core sales assets will capture disproportionate market share in a region where 87% of clients cite "technical credibility" as their top purchase criterion (Amsterdam Life Sciences Survey, 2023). The time for treating laboratory teams as cost centers has passed; the future of sales success in Netherlands Amsterdam is built on technical excellence. We recommend immediate adoption of the proposed strategies to capitalize on this high-impact opportunity.</w:t>
      </w:r>
    </w:p>
    <w:p>
      <w:pPr>
        <w:pStyle w:val="BodyText"/>
      </w:pPr>
      <w:r>
        <w:rPr>
          <w:bCs/>
          <w:b/>
        </w:rPr>
        <w:t xml:space="preserve">Appendix A:</w:t>
      </w:r>
      <w:r>
        <w:t xml:space="preserve"> </w:t>
      </w:r>
      <w:r>
        <w:t xml:space="preserve">Full Regional Data (Amsterdam, Rotterdam, Utrecht) |</w:t>
      </w:r>
      <w:r>
        <w:t xml:space="preserve"> </w:t>
      </w:r>
      <w:r>
        <w:rPr>
          <w:bCs/>
          <w:b/>
        </w:rPr>
        <w:t xml:space="preserve">Appendix B:</w:t>
      </w:r>
      <w:r>
        <w:t xml:space="preserve"> </w:t>
      </w:r>
      <w:r>
        <w:t xml:space="preserve">Technician Certification Framework for Netherlands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Impact in Netherlands Amsterdam</dc:title>
  <dc:creator/>
  <dc:language>en</dc:language>
  <cp:keywords/>
  <dcterms:created xsi:type="dcterms:W3CDTF">2026-07-23T08:03:49Z</dcterms:created>
  <dcterms:modified xsi:type="dcterms:W3CDTF">2026-07-23T08:03:49Z</dcterms:modified>
</cp:coreProperties>
</file>

<file path=docProps/custom.xml><?xml version="1.0" encoding="utf-8"?>
<Properties xmlns="http://schemas.openxmlformats.org/officeDocument/2006/custom-properties" xmlns:vt="http://schemas.openxmlformats.org/officeDocument/2006/docPropsVTypes"/>
</file>