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w:t>
      </w:r>
      <w:r>
        <w:t xml:space="preserve"> </w:t>
      </w:r>
      <w:r>
        <w:t xml:space="preserve">Qatar</w:t>
      </w:r>
      <w:r>
        <w:t xml:space="preserve"> </w:t>
      </w:r>
      <w:r>
        <w:t xml:space="preserve">Doha</w:t>
      </w:r>
    </w:p>
    <w:bookmarkStart w:id="29" w:name="Xd374ae3b8af2244305a25cc7400d13cf7c72e98"/>
    <w:p>
      <w:pPr>
        <w:pStyle w:val="Heading1"/>
      </w:pPr>
      <w:r>
        <w:t xml:space="preserve">Comprehensive Sales Report: Laboratory Technician Services in Qatar Doha (Q4 2023 - Q1 2024)</w:t>
      </w:r>
    </w:p>
    <w:bookmarkStart w:id="20" w:name="executive-summary"/>
    <w:p>
      <w:pPr>
        <w:pStyle w:val="Heading2"/>
      </w:pPr>
      <w:r>
        <w:t xml:space="preserve">Executive Summary</w:t>
      </w:r>
    </w:p>
    <w:p>
      <w:pPr>
        <w:pStyle w:val="FirstParagraph"/>
      </w:pPr>
      <w:r>
        <w:t xml:space="preserve">This quarterly sales report details the performance and market dynamics of laboratory technician services across Doha, Qatar. As a critical healthcare and research backbone for the State of Qatar, the laboratory technician sector has demonstrated robust growth, with an unprecedented 34% year-on-year increase in service demand. This document validates how strategic recruitment and specialized technical support directly contribute to Qatar's healthcare excellence targets under Vision 2030. The report confirms that securing qualified Laboratory Technician professionals remains a top priority for all major healthcare institutions and diagnostic centers operating within Doha, making this role pivotal to Qatar's medical advancement ecosystem.</w:t>
      </w:r>
    </w:p>
    <w:bookmarkEnd w:id="20"/>
    <w:bookmarkStart w:id="22" w:name="market-performance-overview"/>
    <w:p>
      <w:pPr>
        <w:pStyle w:val="Heading2"/>
      </w:pPr>
      <w:r>
        <w:t xml:space="preserve">Market Performance Overview</w:t>
      </w:r>
    </w:p>
    <w:p>
      <w:pPr>
        <w:pStyle w:val="FirstParagraph"/>
      </w:pPr>
      <w:r>
        <w:t xml:space="preserve">The laboratory technician sales pipeline in Qatar Doha achieved remarkable milestones during Q4 2023 and Q1 2024. Total service contracts for Laboratory Technician staffing solutions increased by 37% compared to the previous quarter, totaling $8.5 million in new business volume. Key clients include Hamad Medical Corporation (HMC), Sidra Medicine, Qatar University's Research Center, and international diagnostic chains expanding in Doha. Notably, 89% of all contracts were secured through targeted recruitment partnerships with Gulf-based educational institutions—demonstrating the effectiveness of our localized talent acquisition strategy for Laboratory Technician roles.</w:t>
      </w:r>
    </w:p>
    <w:bookmarkStart w:id="21" w:name="regional-demand-drivers"/>
    <w:p>
      <w:pPr>
        <w:pStyle w:val="Heading3"/>
      </w:pPr>
      <w:r>
        <w:t xml:space="preserve">Regional Demand Drivers</w:t>
      </w:r>
    </w:p>
    <w:p>
      <w:pPr>
        <w:pStyle w:val="FirstParagraph"/>
      </w:pPr>
      <w:r>
        <w:t xml:space="preserve">Doha's emergence as a regional healthcare hub has intensified demand for certified laboratory technicians. The Qatar National Research Fund's recent $200 million investment in diagnostic infrastructure directly fuels this trend, requiring 120+ specialized Laboratory Technician positions across 15 new facilities. Additionally, the government's "Healthy Qatar" initiative mandates advanced clinical testing for all public healthcare facilities, creating sustained demand. As a result, our Doha-based team reported a 62% increase in client inquiries specifically seeking Laboratory Technician professionals with experience in hematology and molecular diagnostics—critical specialties aligning with Qatar's focus on cancer research and infectious disease management.</w:t>
      </w:r>
    </w:p>
    <w:bookmarkEnd w:id="21"/>
    <w:bookmarkEnd w:id="22"/>
    <w:bookmarkStart w:id="23"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Q4 2023 Revenue ($)</w:t>
            </w:r>
          </w:p>
        </w:tc>
        <w:tc>
          <w:tcPr/>
          <w:p>
            <w:pPr>
              <w:pStyle w:val="Compact"/>
              <w:jc w:val="left"/>
            </w:pPr>
            <w:r>
              <w:t xml:space="preserve">Q1 2024 Revenue ($)</w:t>
            </w:r>
          </w:p>
        </w:tc>
        <w:tc>
          <w:tcPr/>
          <w:p>
            <w:pPr>
              <w:pStyle w:val="Compact"/>
              <w:jc w:val="left"/>
            </w:pPr>
            <w:r>
              <w:t xml:space="preserve">% Growth</w:t>
            </w:r>
          </w:p>
        </w:tc>
      </w:tr>
      <w:tr>
        <w:tc>
          <w:tcPr/>
          <w:p>
            <w:pPr>
              <w:pStyle w:val="Compact"/>
              <w:jc w:val="left"/>
            </w:pPr>
            <w:r>
              <w:t xml:space="preserve">Laboratory Technician Recruitment</w:t>
            </w:r>
          </w:p>
        </w:tc>
        <w:tc>
          <w:tcPr/>
          <w:p>
            <w:pPr>
              <w:pStyle w:val="Compact"/>
              <w:jc w:val="left"/>
            </w:pPr>
            <w:r>
              <w:t xml:space="preserve">3,150,000</w:t>
            </w:r>
          </w:p>
        </w:tc>
        <w:tc>
          <w:tcPr/>
          <w:p>
            <w:pPr>
              <w:pStyle w:val="Compact"/>
              <w:jc w:val="left"/>
            </w:pPr>
            <w:r>
              <w:t xml:space="preserve">4,285,000</w:t>
            </w:r>
          </w:p>
        </w:tc>
        <w:tc>
          <w:tcPr/>
          <w:p>
            <w:pPr>
              <w:pStyle w:val="Compact"/>
              <w:jc w:val="left"/>
            </w:pPr>
            <w:r>
              <w:t xml:space="preserve">+36.1%</w:t>
            </w:r>
          </w:p>
        </w:tc>
      </w:tr>
      <w:tr>
        <w:tc>
          <w:tcPr/>
          <w:p>
            <w:pPr>
              <w:pStyle w:val="Compact"/>
              <w:jc w:val="left"/>
            </w:pPr>
            <w:r>
              <w:t xml:space="preserve">Specialized Training Programs</w:t>
            </w:r>
          </w:p>
        </w:tc>
        <w:tc>
          <w:tcPr/>
          <w:p>
            <w:pPr>
              <w:pStyle w:val="Compact"/>
              <w:jc w:val="left"/>
            </w:pPr>
            <w:r>
              <w:t xml:space="preserve">725,000</w:t>
            </w:r>
          </w:p>
        </w:tc>
        <w:tc>
          <w:tcPr/>
          <w:p>
            <w:pPr>
              <w:pStyle w:val="Compact"/>
              <w:jc w:val="left"/>
            </w:pPr>
            <w:r>
              <w:t xml:space="preserve">987,500</w:t>
            </w:r>
          </w:p>
        </w:tc>
        <w:tc>
          <w:tcPr/>
          <w:p>
            <w:pPr>
              <w:pStyle w:val="Compact"/>
              <w:jc w:val="left"/>
            </w:pPr>
            <w:r>
              <w:t xml:space="preserve">+36.2%</w:t>
            </w:r>
          </w:p>
        </w:tc>
      </w:tr>
      <w:tr>
        <w:tc>
          <w:tcPr/>
          <w:p>
            <w:pPr>
              <w:pStyle w:val="Compact"/>
              <w:jc w:val="left"/>
            </w:pPr>
            <w:r>
              <w:t xml:space="preserve">Diagnostics Equipment Support (Lab Tech Integration)</w:t>
            </w:r>
          </w:p>
        </w:tc>
        <w:tc>
          <w:tcPr/>
          <w:p>
            <w:pPr>
              <w:pStyle w:val="Compact"/>
              <w:jc w:val="left"/>
            </w:pPr>
            <w:r>
              <w:t xml:space="preserve">1,435,000</w:t>
            </w:r>
          </w:p>
        </w:tc>
        <w:tc>
          <w:tcPr/>
          <w:p>
            <w:pPr>
              <w:pStyle w:val="Compact"/>
              <w:jc w:val="left"/>
            </w:pPr>
            <w:r>
              <w:t xml:space="preserve">1,789,500</w:t>
            </w:r>
          </w:p>
        </w:tc>
        <w:tc>
          <w:tcPr/>
          <w:p>
            <w:pPr>
              <w:pStyle w:val="Compact"/>
              <w:jc w:val="left"/>
            </w:pPr>
            <w:r>
              <w:t xml:space="preserve">+24.7%</w:t>
            </w:r>
          </w:p>
        </w:tc>
      </w:tr>
      <w:tr>
        <w:tc>
          <w:tcPr/>
          <w:p>
            <w:pPr>
              <w:pStyle w:val="Compact"/>
              <w:jc w:val="left"/>
            </w:pPr>
            <w:r>
              <w:t xml:space="preserve">Total</w:t>
            </w:r>
          </w:p>
        </w:tc>
        <w:tc>
          <w:tcPr/>
          <w:p>
            <w:pPr>
              <w:pStyle w:val="Compact"/>
              <w:jc w:val="left"/>
            </w:pPr>
            <w:r>
              <w:t xml:space="preserve">$5,310,000</w:t>
            </w:r>
          </w:p>
        </w:tc>
        <w:tc>
          <w:tcPr/>
          <w:p>
            <w:pPr>
              <w:pStyle w:val="Compact"/>
              <w:jc w:val="left"/>
            </w:pPr>
            <w:r>
              <w:t xml:space="preserve">$6,962,500</w:t>
            </w:r>
          </w:p>
        </w:tc>
        <w:tc>
          <w:tcPr/>
          <w:p>
            <w:pPr>
              <w:pStyle w:val="Compact"/>
              <w:jc w:val="left"/>
            </w:pPr>
            <w:r>
              <w:t xml:space="preserve">34.9%</w:t>
            </w:r>
          </w:p>
        </w:tc>
      </w:tr>
    </w:tbl>
    <w:bookmarkEnd w:id="23"/>
    <w:bookmarkStart w:id="24" w:name="X3f415cabf6508ffa46f79f0f5f268e5522327a7"/>
    <w:p>
      <w:pPr>
        <w:pStyle w:val="Heading2"/>
      </w:pPr>
      <w:r>
        <w:t xml:space="preserve">Qatar Doha Market Differentiation: Why Local Expertise Matters</w:t>
      </w:r>
    </w:p>
    <w:p>
      <w:pPr>
        <w:pStyle w:val="FirstParagraph"/>
      </w:pPr>
      <w:r>
        <w:t xml:space="preserve">Our sales strategy in Qatar Doha emphasizes cultural and technical alignment. Unlike generic recruitment services, we prioritize Laboratory Technician candidates with:</w:t>
      </w:r>
    </w:p>
    <w:p>
      <w:pPr>
        <w:numPr>
          <w:ilvl w:val="0"/>
          <w:numId w:val="1001"/>
        </w:numPr>
        <w:pStyle w:val="Compact"/>
      </w:pPr>
      <w:r>
        <w:rPr>
          <w:bCs/>
          <w:b/>
        </w:rPr>
        <w:t xml:space="preserve">Certification Recognition:</w:t>
      </w:r>
      <w:r>
        <w:t xml:space="preserve"> </w:t>
      </w:r>
      <w:r>
        <w:t xml:space="preserve">Prioritizing WHO-accredited labs and Qatari Ministry of Public Health certifications</w:t>
      </w:r>
    </w:p>
    <w:p>
      <w:pPr>
        <w:numPr>
          <w:ilvl w:val="0"/>
          <w:numId w:val="1001"/>
        </w:numPr>
        <w:pStyle w:val="Compact"/>
      </w:pPr>
      <w:r>
        <w:rPr>
          <w:bCs/>
          <w:b/>
        </w:rPr>
        <w:t xml:space="preserve">Regional Experience:</w:t>
      </w:r>
      <w:r>
        <w:t xml:space="preserve"> </w:t>
      </w:r>
      <w:r>
        <w:t xml:space="preserve">78% of successful placements have worked in GCC healthcare facilities</w:t>
      </w:r>
    </w:p>
    <w:p>
      <w:pPr>
        <w:numPr>
          <w:ilvl w:val="0"/>
          <w:numId w:val="1001"/>
        </w:numPr>
        <w:pStyle w:val="Compact"/>
      </w:pPr>
      <w:r>
        <w:rPr>
          <w:bCs/>
          <w:b/>
        </w:rPr>
        <w:t xml:space="preserve">Clinical Knowledge Specific to Qatar:</w:t>
      </w:r>
      <w:r>
        <w:t xml:space="preserve"> </w:t>
      </w:r>
      <w:r>
        <w:t xml:space="preserve">Proficiency with local disease prevalence patterns (e.g., diabetes, cardiovascular conditions)</w:t>
      </w:r>
    </w:p>
    <w:p>
      <w:pPr>
        <w:pStyle w:val="FirstParagraph"/>
      </w:pPr>
      <w:r>
        <w:t xml:space="preserve">This localized approach directly addresses Doha's unique healthcare challenges. For instance, a recent contract with Al-Thawra Hospital required technicians trained in Arabic-language diagnostic protocols—a standard we now mandate for all Qatar Doha placements. This cultural competence has reduced onboarding time by 41% and improved client retention rates to 93%.</w:t>
      </w:r>
    </w:p>
    <w:bookmarkEnd w:id="24"/>
    <w:bookmarkStart w:id="25" w:name="competitive-landscape-analysis"/>
    <w:p>
      <w:pPr>
        <w:pStyle w:val="Heading2"/>
      </w:pPr>
      <w:r>
        <w:t xml:space="preserve">Competitive Landscape Analysis</w:t>
      </w:r>
    </w:p>
    <w:p>
      <w:pPr>
        <w:pStyle w:val="FirstParagraph"/>
      </w:pPr>
      <w:r>
        <w:t xml:space="preserve">The Laboratory Technician services market in Qatar Doha is highly competitive, but our sales differentiators remain strong:</w:t>
      </w:r>
    </w:p>
    <w:p>
      <w:pPr>
        <w:numPr>
          <w:ilvl w:val="0"/>
          <w:numId w:val="1002"/>
        </w:numPr>
        <w:pStyle w:val="Compact"/>
      </w:pPr>
      <w:r>
        <w:rPr>
          <w:bCs/>
          <w:b/>
        </w:rPr>
        <w:t xml:space="preserve">Speed-to-Hire:</w:t>
      </w:r>
      <w:r>
        <w:t xml:space="preserve"> </w:t>
      </w:r>
      <w:r>
        <w:t xml:space="preserve">Average 14-day placement cycle (vs. industry average of 32 days)</w:t>
      </w:r>
    </w:p>
    <w:p>
      <w:pPr>
        <w:numPr>
          <w:ilvl w:val="0"/>
          <w:numId w:val="1002"/>
        </w:numPr>
        <w:pStyle w:val="Compact"/>
      </w:pPr>
      <w:r>
        <w:rPr>
          <w:bCs/>
          <w:b/>
        </w:rPr>
        <w:t xml:space="preserve">Pricing Transparency:</w:t>
      </w:r>
      <w:r>
        <w:t xml:space="preserve"> </w:t>
      </w:r>
      <w:r>
        <w:t xml:space="preserve">Fixed-fee structure avoiding hidden costs common in regional competitors</w:t>
      </w:r>
    </w:p>
    <w:p>
      <w:pPr>
        <w:numPr>
          <w:ilvl w:val="0"/>
          <w:numId w:val="1002"/>
        </w:numPr>
        <w:pStyle w:val="Compact"/>
      </w:pPr>
      <w:r>
        <w:rPr>
          <w:bCs/>
          <w:b/>
        </w:rPr>
        <w:t xml:space="preserve">Post-Placement Support:</w:t>
      </w:r>
      <w:r>
        <w:t xml:space="preserve"> </w:t>
      </w:r>
      <w:r>
        <w:t xml:space="preserve">Dedicated Qatari-speaking account managers for all Laboratory Technician contracts</w:t>
      </w:r>
    </w:p>
    <w:p>
      <w:pPr>
        <w:pStyle w:val="FirstParagraph"/>
      </w:pPr>
      <w:r>
        <w:t xml:space="preserve">This strategic focus has allowed us to capture 31% market share in Doha's high-value laboratory staffing segment—a figure projected to reach 38% by Q4 2024 based on current sales pipeline velocity.</w:t>
      </w:r>
    </w:p>
    <w:bookmarkEnd w:id="25"/>
    <w:bookmarkStart w:id="26" w:name="challenges-strategic-opportunities"/>
    <w:p>
      <w:pPr>
        <w:pStyle w:val="Heading2"/>
      </w:pPr>
      <w:r>
        <w:t xml:space="preserve">Challenges &amp; Strategic Opportunities</w:t>
      </w:r>
    </w:p>
    <w:p>
      <w:pPr>
        <w:pStyle w:val="FirstParagraph"/>
      </w:pPr>
      <w:r>
        <w:t xml:space="preserve">Key challenges identified during this reporting period include:</w:t>
      </w:r>
    </w:p>
    <w:p>
      <w:pPr>
        <w:numPr>
          <w:ilvl w:val="0"/>
          <w:numId w:val="1003"/>
        </w:numPr>
        <w:pStyle w:val="Compact"/>
      </w:pPr>
      <w:r>
        <w:rPr>
          <w:bCs/>
          <w:b/>
        </w:rPr>
        <w:t xml:space="preserve">Talent Shortage:</w:t>
      </w:r>
      <w:r>
        <w:t xml:space="preserve"> </w:t>
      </w:r>
      <w:r>
        <w:t xml:space="preserve">Only 15% of local Qatar University laboratory science graduates meet HMC's advanced technician requirements, necessitating targeted international recruitment.</w:t>
      </w:r>
    </w:p>
    <w:p>
      <w:pPr>
        <w:numPr>
          <w:ilvl w:val="0"/>
          <w:numId w:val="1003"/>
        </w:numPr>
        <w:pStyle w:val="Compact"/>
      </w:pPr>
      <w:r>
        <w:rPr>
          <w:bCs/>
          <w:b/>
        </w:rPr>
        <w:t xml:space="preserve">Certification Gaps:</w:t>
      </w:r>
      <w:r>
        <w:t xml:space="preserve"> </w:t>
      </w:r>
      <w:r>
        <w:t xml:space="preserve">Inconsistent recognition of foreign certifications requires additional validation processes (addressed through our new 'Qatar Compliance Program').</w:t>
      </w:r>
    </w:p>
    <w:p>
      <w:pPr>
        <w:pStyle w:val="FirstParagraph"/>
      </w:pPr>
      <w:r>
        <w:t xml:space="preserve">Opportunities for growth include:</w:t>
      </w:r>
    </w:p>
    <w:p>
      <w:pPr>
        <w:numPr>
          <w:ilvl w:val="0"/>
          <w:numId w:val="1004"/>
        </w:numPr>
        <w:pStyle w:val="Compact"/>
      </w:pPr>
      <w:r>
        <w:rPr>
          <w:bCs/>
          <w:b/>
        </w:rPr>
        <w:t xml:space="preserve">Medical Tourism Expansion:</w:t>
      </w:r>
      <w:r>
        <w:t xml:space="preserve"> </w:t>
      </w:r>
      <w:r>
        <w:t xml:space="preserve">Qatar's recent medical tourism visa initiatives will require 200+ additional laboratory technicians by 2025.</w:t>
      </w:r>
    </w:p>
    <w:p>
      <w:pPr>
        <w:numPr>
          <w:ilvl w:val="0"/>
          <w:numId w:val="1004"/>
        </w:numPr>
        <w:pStyle w:val="Compact"/>
      </w:pPr>
      <w:r>
        <w:rPr>
          <w:bCs/>
          <w:b/>
        </w:rPr>
        <w:t xml:space="preserve">Sustainable Lab Solutions:</w:t>
      </w:r>
      <w:r>
        <w:t xml:space="preserve"> </w:t>
      </w:r>
      <w:r>
        <w:t xml:space="preserve">Growing demand for eco-certified laboratory operations—our new training module on "Green Lab Practices" is now a top sales driver.</w:t>
      </w:r>
    </w:p>
    <w:bookmarkEnd w:id="26"/>
    <w:bookmarkStart w:id="27" w:name="qatar-doha-client-success-stories"/>
    <w:p>
      <w:pPr>
        <w:pStyle w:val="Heading2"/>
      </w:pPr>
      <w:r>
        <w:t xml:space="preserve">Qatar Doha Client Success Stories</w:t>
      </w:r>
    </w:p>
    <w:p>
      <w:pPr>
        <w:pStyle w:val="FirstParagraph"/>
      </w:pPr>
      <w:r>
        <w:rPr>
          <w:iCs/>
          <w:i/>
        </w:rPr>
        <w:t xml:space="preserve">Case Study: Sidra Medicine Expansion (Doha)</w:t>
      </w:r>
    </w:p>
    <w:p>
      <w:pPr>
        <w:pStyle w:val="BodyText"/>
      </w:pPr>
      <w:r>
        <w:t xml:space="preserve">Sidra Medicine required 45 Laboratory Technicians for its new Women's Health Center. Our team delivered 100% of positions within 18 days (vs. the industry standard of 6 weeks), with all technicians certified in Qatar's maternal health diagnostic protocols. The rapid deployment directly supported Sidra's Q3 operational target, resulting in a $225,000 contract renewal and referral for two additional facilities.</w:t>
      </w:r>
    </w:p>
    <w:p>
      <w:pPr>
        <w:pStyle w:val="BodyText"/>
      </w:pPr>
      <w:r>
        <w:rPr>
          <w:iCs/>
          <w:i/>
        </w:rPr>
        <w:t xml:space="preserve">Case Study: National Diagnostic Chain (Doha)</w:t>
      </w:r>
    </w:p>
    <w:p>
      <w:pPr>
        <w:pStyle w:val="BodyText"/>
      </w:pPr>
      <w:r>
        <w:t xml:space="preserve">A major private diagnostics chain expanded to Doha's Education City with 3 new labs. Our specialized training program for laboratory technicians on the latest molecular testing equipment reduced their operational ramp-up time by 50%, directly contributing to a $400,000 service contract extension.</w:t>
      </w:r>
    </w:p>
    <w:bookmarkEnd w:id="27"/>
    <w:bookmarkStart w:id="28" w:name="conclusion-strategic-recommendations"/>
    <w:p>
      <w:pPr>
        <w:pStyle w:val="Heading2"/>
      </w:pPr>
      <w:r>
        <w:t xml:space="preserve">Conclusion &amp; Strategic Recommendations</w:t>
      </w:r>
    </w:p>
    <w:p>
      <w:pPr>
        <w:pStyle w:val="FirstParagraph"/>
      </w:pPr>
      <w:r>
        <w:t xml:space="preserve">This sales report underscores that Laboratory Technician services are not merely a commodity but a strategic asset for healthcare advancement in Qatar Doha. The 34.9% revenue growth validates our market approach, with the most successful outcomes achieved when technical solutions align precisely with Qatar's healthcare priorities.</w:t>
      </w:r>
    </w:p>
    <w:p>
      <w:pPr>
        <w:pStyle w:val="BodyText"/>
      </w:pPr>
      <w:r>
        <w:rPr>
          <w:bCs/>
          <w:b/>
        </w:rPr>
        <w:t xml:space="preserve">Recommended Actions for Q2 2024:</w:t>
      </w:r>
    </w:p>
    <w:p>
      <w:pPr>
        <w:numPr>
          <w:ilvl w:val="0"/>
          <w:numId w:val="1005"/>
        </w:numPr>
        <w:pStyle w:val="Compact"/>
      </w:pPr>
      <w:r>
        <w:t xml:space="preserve">Establish a dedicated Laboratory Technician talent pipeline at Qatar University, including mandatory Arabic medical terminology training</w:t>
      </w:r>
    </w:p>
    <w:p>
      <w:pPr>
        <w:numPr>
          <w:ilvl w:val="0"/>
          <w:numId w:val="1005"/>
        </w:numPr>
        <w:pStyle w:val="Compact"/>
      </w:pPr>
      <w:r>
        <w:t xml:space="preserve">Prioritize partnerships with German and US institutions to accelerate certification recognition for international candidates</w:t>
      </w:r>
    </w:p>
    <w:p>
      <w:pPr>
        <w:numPr>
          <w:ilvl w:val="0"/>
          <w:numId w:val="1005"/>
        </w:numPr>
        <w:pStyle w:val="Compact"/>
      </w:pPr>
      <w:r>
        <w:t xml:space="preserve">Develop a "Qatar Lab Tech Excellence" certification program in collaboration with MOHAP (Ministry of Health)</w:t>
      </w:r>
    </w:p>
    <w:p>
      <w:pPr>
        <w:pStyle w:val="FirstParagraph"/>
      </w:pPr>
      <w:r>
        <w:t xml:space="preserve">As Qatar continues its transformation into a global healthcare leader under Vision 2030, the Laboratory Technician role will remain central to operational excellence across Doha's medical landscape. Our sales data confirms that organizations investing in specialized laboratory technician solutions are directly contributing to enhanced patient outcomes and institutional growth. We project continued double-digit growth for Laboratory Technician services in Qatar Doha through 2025, making this segment a cornerstone of our regional healthcare strategy.</w:t>
      </w:r>
    </w:p>
    <w:p>
      <w:pPr>
        <w:pStyle w:val="BodyText"/>
      </w:pPr>
      <w:r>
        <w:rPr>
          <w:bCs/>
          <w:b/>
        </w:rPr>
        <w:t xml:space="preserve">Prepared By:</w:t>
      </w:r>
      <w:r>
        <w:t xml:space="preserve"> </w:t>
      </w:r>
      <w:r>
        <w:t xml:space="preserve">Regional Sales Intelligence Team</w:t>
      </w:r>
      <w:r>
        <w:br/>
      </w:r>
      <w:r>
        <w:rPr>
          <w:bCs/>
          <w:b/>
        </w:rPr>
        <w:t xml:space="preserve">Date:</w:t>
      </w:r>
      <w:r>
        <w:t xml:space="preserve"> </w:t>
      </w:r>
      <w:r>
        <w:t xml:space="preserve">February 15, 2024</w:t>
      </w:r>
      <w:r>
        <w:br/>
      </w:r>
      <w:r>
        <w:rPr>
          <w:bCs/>
          <w:b/>
        </w:rPr>
        <w:t xml:space="preserve">Location:</w:t>
      </w:r>
      <w:r>
        <w:t xml:space="preserve"> </w:t>
      </w:r>
      <w:r>
        <w:t xml:space="preserve">Doha, Qatar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Services - Qatar Doha</dc:title>
  <dc:creator/>
  <dc:language>en</dc:language>
  <cp:keywords/>
  <dcterms:created xsi:type="dcterms:W3CDTF">2026-07-22T05:59:38Z</dcterms:created>
  <dcterms:modified xsi:type="dcterms:W3CDTF">2026-07-22T05:59:38Z</dcterms:modified>
</cp:coreProperties>
</file>

<file path=docProps/custom.xml><?xml version="1.0" encoding="utf-8"?>
<Properties xmlns="http://schemas.openxmlformats.org/officeDocument/2006/custom-properties" xmlns:vt="http://schemas.openxmlformats.org/officeDocument/2006/docPropsVTypes"/>
</file>