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fd3675e8466d8473ff2d0c87d252689a709ec56"/>
    <w:p>
      <w:pPr>
        <w:pStyle w:val="Heading1"/>
      </w:pPr>
      <w:r>
        <w:t xml:space="preserve">Sales Report: Strategic Impact of Laboratory Technicians on Market Expansion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quantifies the indispensable role of Laboratory Technicians in driving revenue growth for our diagnostics division across Russia, with particular emphasis on the Saint Petersburg market. In a region characterized by rapidly evolving healthcare infrastructure and stringent regulatory requirements, our certified Laboratory Technicians have directly contributed to a 22% year-over-year increase in client acquisition and a 15% uplift in cross-selling success rates. This document details how technical excellence at the bench translates into commercial advantage, positioning Saint Petersburg as our flagship regional hub for laboratory-driven sales expansion.</w:t>
      </w:r>
    </w:p>
    <w:bookmarkEnd w:id="20"/>
    <w:bookmarkStart w:id="21" w:name="X9fea5a6b7266cc65c34ae01bf959732e3392998"/>
    <w:p>
      <w:pPr>
        <w:pStyle w:val="Heading2"/>
      </w:pPr>
      <w:r>
        <w:t xml:space="preserve">II. Market Context: Saint Petersburg's Laboratory Services Landscape</w:t>
      </w:r>
    </w:p>
    <w:p>
      <w:pPr>
        <w:pStyle w:val="FirstParagraph"/>
      </w:pPr>
      <w:r>
        <w:t xml:space="preserve">Russia's Saint Petersburg represents a critical growth corridor for medical diagnostics, home to 47% of the country's specialized clinical laboratories and serving a population of over 5 million. The region faces unique challenges: outdated equipment in municipal facilities (68% according to Roszdravnadzor), rising demand for personalized medicine (32% YoY growth), and complex regulatory compliance under Federal Law No. 323-FZ. Competitors have struggled with inconsistent service quality, creating a white space for precision-focused technical support.</w:t>
      </w:r>
    </w:p>
    <w:p>
      <w:pPr>
        <w:pStyle w:val="BodyText"/>
      </w:pPr>
      <w:r>
        <w:t xml:space="preserve">Our Saint Petersburg laboratory team—comprising 18 certified technicians—has become the cornerstone of our competitive differentiation. While sales representatives handle client acquisition, it is our technicians who provide the technical credibility that converts prospects into long-term contracts. This symbiotic relationship between bench expertise and commercial outreach has driven our market share gain from 18% to 26% in Saint Petersburg within 12 months.</w:t>
      </w:r>
    </w:p>
    <w:bookmarkEnd w:id="21"/>
    <w:bookmarkStart w:id="22" w:name="Xbc531ef8154723e46a3b5a3663c58fcb85409f0"/>
    <w:p>
      <w:pPr>
        <w:pStyle w:val="Heading2"/>
      </w:pPr>
      <w:r>
        <w:t xml:space="preserve">III. Laboratory Technician Contribution to Sales Performance</w:t>
      </w:r>
    </w:p>
    <w:p>
      <w:pPr>
        <w:pStyle w:val="FirstParagraph"/>
      </w:pPr>
      <w:r>
        <w:rPr>
          <w:bCs/>
          <w:b/>
        </w:rPr>
        <w:t xml:space="preserve">Technical Validation Driving Deal Closure:</w:t>
      </w:r>
      <w:r>
        <w:t xml:space="preserve"> </w:t>
      </w:r>
      <w:r>
        <w:t xml:space="preserve">During Q3, technicians performed 147 on-site instrument validations for potential clients, directly enabling 38 closed deals valued at ₽98 million (≈$1.1M). In one pivotal case with Saint Petersburg Municipal Health Network, a technician’s rapid troubleshooting of an automated hematology analyzer during a live demonstration prevented a $250K deal from collapsing. The client later stated: "Your technician didn’t just fix the machine—they built our trust in your service model."</w:t>
      </w:r>
    </w:p>
    <w:p>
      <w:pPr>
        <w:pStyle w:val="BodyText"/>
      </w:pPr>
      <w:r>
        <w:rPr>
          <w:bCs/>
          <w:b/>
        </w:rPr>
        <w:t xml:space="preserve">Quality Assurance as Sales Catalyst:</w:t>
      </w:r>
      <w:r>
        <w:t xml:space="preserve"> </w:t>
      </w:r>
      <w:r>
        <w:t xml:space="preserve">Our technicians implement ISO 15189-compliant testing protocols that generate certified data for client marketing. This has shortened sales cycles by 37% as prospects receive immediate validation of product efficacy. For example, a new immunoassay kit launched to Saint Petersburg healthcare clusters saw 62% faster adoption due to technicians providing real-time performance data during trials.</w:t>
      </w:r>
    </w:p>
    <w:p>
      <w:pPr>
        <w:pStyle w:val="BodyText"/>
      </w:pPr>
      <w:r>
        <w:rPr>
          <w:bCs/>
          <w:b/>
        </w:rPr>
        <w:t xml:space="preserve">Regulatory Navigation Support:</w:t>
      </w:r>
      <w:r>
        <w:t xml:space="preserve"> </w:t>
      </w:r>
      <w:r>
        <w:t xml:space="preserve">With Saint Petersburg's strict clinical trial requirements (Article 47 of SanPiN), technicians proactively guide clients through documentation processes. This reduced compliance-related sales delays by 51%, allowing us to secure contracts with three major hospitals that previously abandoned vendors due to regulatory complexity.</w:t>
      </w:r>
    </w:p>
    <w:bookmarkEnd w:id="22"/>
    <w:bookmarkStart w:id="23" w:name="Xee389e75f698d5fbff1484fe40cd2c02e09d84d"/>
    <w:p>
      <w:pPr>
        <w:pStyle w:val="Heading2"/>
      </w:pPr>
      <w:r>
        <w:t xml:space="preserve">IV. Quantifiable Sales Impact (Saint Petersburg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New Client Acquisition (Saint Petersburg)</w:t>
      </w:r>
    </w:p>
    <w:p>
      <w:pPr>
        <w:pStyle w:val="BodyText"/>
      </w:pPr>
      <w:r>
        <w:t xml:space="preserve">47 contracts</w:t>
      </w:r>
    </w:p>
    <w:p>
      <w:pPr>
        <w:pStyle w:val="BodyText"/>
      </w:pPr>
      <w:r>
        <w:t xml:space="preserve">34 contracts</w:t>
      </w:r>
    </w:p>
    <w:p>
      <w:pPr>
        <w:pStyle w:val="BodyText"/>
      </w:pPr>
      <w:r>
        <w:t xml:space="preserve">+38.2%</w:t>
      </w:r>
    </w:p>
    <w:p>
      <w:pPr>
        <w:pStyle w:val="BodyText"/>
      </w:pPr>
      <w:r>
        <w:t xml:space="preserve">Average Contract Value</w:t>
      </w:r>
    </w:p>
    <w:p>
      <w:pPr>
        <w:pStyle w:val="BodyText"/>
      </w:pPr>
      <w:r>
        <w:t xml:space="preserve">₽2.1M ($23K)</w:t>
      </w:r>
    </w:p>
    <w:p>
      <w:pPr>
        <w:pStyle w:val="BodyText"/>
      </w:pPr>
      <w:r>
        <w:t xml:space="preserve">₽1.8M ($20K)</w:t>
      </w:r>
    </w:p>
    <w:p>
      <w:pPr>
        <w:pStyle w:val="BodyText"/>
      </w:pPr>
      <w:r>
        <w:t xml:space="preserve">+16.7%</w:t>
      </w:r>
    </w:p>
    <w:p>
      <w:pPr>
        <w:pStyle w:val="BodyText"/>
      </w:pPr>
      <w:r>
        <w:t xml:space="preserve">Cross-Sell Conversion Rate</w:t>
      </w:r>
    </w:p>
    <w:p>
      <w:pPr>
        <w:pStyle w:val="BodyText"/>
      </w:pPr>
      <w:r>
        <w:t xml:space="preserve">34%</w:t>
      </w:r>
    </w:p>
    <w:p>
      <w:pPr>
        <w:pStyle w:val="BodyText"/>
      </w:pPr>
      <w:r>
        <w:t xml:space="preserve">25%</w:t>
      </w:r>
    </w:p>
    <w:p>
      <w:pPr>
        <w:pStyle w:val="BodyText"/>
      </w:pPr>
      <w:r>
        <w:t xml:space="preserve">+9 pts</w:t>
      </w:r>
    </w:p>
    <w:p>
      <w:pPr>
        <w:pStyle w:val="BodyText"/>
      </w:pPr>
      <w:r>
        <w:t xml:space="preserve">Client Retention Rate</w:t>
      </w:r>
    </w:p>
    <w:p>
      <w:pPr>
        <w:pStyle w:val="BodyText"/>
      </w:pPr>
      <w:r>
        <w:t xml:space="preserve">92%86%+6 pts</w:t>
      </w:r>
    </w:p>
    <w:p>
      <w:pPr>
        <w:pStyle w:val="BodyText"/>
      </w:pPr>
      <w:r>
        <w:rPr>
          <w:iCs/>
          <w:i/>
        </w:rPr>
        <w:t xml:space="preserve">Note: All figures reflect Saint Petersburg market performance. Technician involvement in client onboarding (78% of deals) directly correlates with these metrics.</w:t>
      </w:r>
    </w:p>
    <w:bookmarkEnd w:id="23"/>
    <w:bookmarkStart w:id="24" w:name="X83f5365e684d8965d3b4f61f8d9fa6bed98d559"/>
    <w:p>
      <w:pPr>
        <w:pStyle w:val="Heading2"/>
      </w:pPr>
      <w:r>
        <w:t xml:space="preserve">V. Strategic Recommendations for Sales Growth</w:t>
      </w:r>
    </w:p>
    <w:p>
      <w:pPr>
        <w:numPr>
          <w:ilvl w:val="0"/>
          <w:numId w:val="1001"/>
        </w:numPr>
        <w:pStyle w:val="Compact"/>
      </w:pPr>
      <w:r>
        <w:rPr>
          <w:bCs/>
          <w:b/>
        </w:rPr>
        <w:t xml:space="preserve">Expand Technician-to-Sales Ratio:</w:t>
      </w:r>
      <w:r>
        <w:t xml:space="preserve"> </w:t>
      </w:r>
      <w:r>
        <w:t xml:space="preserve">Increase our Saint Petersburg technician headcount by 30% (to 24) to support projected 45% client growth in Q1 2024. This will address the current bottleneck in demo capacity, which is limiting our conversion of RFPs into contracts.</w:t>
      </w:r>
    </w:p>
    <w:p>
      <w:pPr>
        <w:numPr>
          <w:ilvl w:val="0"/>
          <w:numId w:val="1001"/>
        </w:numPr>
        <w:pStyle w:val="Compact"/>
      </w:pPr>
      <w:r>
        <w:rPr>
          <w:bCs/>
          <w:b/>
        </w:rPr>
        <w:t xml:space="preserve">Develop "Technical Sales" Certification:</w:t>
      </w:r>
      <w:r>
        <w:t xml:space="preserve"> </w:t>
      </w:r>
      <w:r>
        <w:t xml:space="preserve">Create a joint training program where technicians learn sales fundamentals (e.g., ROI calculation for lab equipment). Initial pilot with 5 senior technicians has already increased their direct contribution to deal value by 18%.</w:t>
      </w:r>
    </w:p>
    <w:p>
      <w:pPr>
        <w:numPr>
          <w:ilvl w:val="0"/>
          <w:numId w:val="1001"/>
        </w:numPr>
        <w:pStyle w:val="Compact"/>
      </w:pPr>
      <w:r>
        <w:rPr>
          <w:bCs/>
          <w:b/>
        </w:rPr>
        <w:t xml:space="preserve">Regional Technical Hub in Saint Petersburg:</w:t>
      </w:r>
      <w:r>
        <w:t xml:space="preserve"> </w:t>
      </w:r>
      <w:r>
        <w:t xml:space="preserve">Establish a dedicated Saint Petersburg Lab Innovation Center to showcase new products through live technician demonstrations. This will position us as the region’s technical authority, accelerating sales cycles for enterprise accounts.</w:t>
      </w:r>
    </w:p>
    <w:bookmarkEnd w:id="24"/>
    <w:bookmarkStart w:id="25" w:name="vi.-challenges-and-mitigation-strategies"/>
    <w:p>
      <w:pPr>
        <w:pStyle w:val="Heading2"/>
      </w:pPr>
      <w:r>
        <w:t xml:space="preserve">VI. Challenges and Mitigation Strategies</w:t>
      </w:r>
    </w:p>
    <w:p>
      <w:pPr>
        <w:pStyle w:val="FirstParagraph"/>
      </w:pPr>
      <w:r>
        <w:rPr>
          <w:bCs/>
          <w:b/>
        </w:rPr>
        <w:t xml:space="preserve">Regulatory Compliance Complexity:</w:t>
      </w:r>
      <w:r>
        <w:t xml:space="preserve"> </w:t>
      </w:r>
      <w:r>
        <w:t xml:space="preserve">Saint Petersburg requires additional documentation for all laboratory equipment (Federal Law 323-FZ Annex 14). Our technicians now maintain a centralized compliance database, reducing sales team’s administrative burden by 65%.</w:t>
      </w:r>
    </w:p>
    <w:p>
      <w:pPr>
        <w:pStyle w:val="BodyText"/>
      </w:pPr>
      <w:r>
        <w:rPr>
          <w:bCs/>
          <w:b/>
        </w:rPr>
        <w:t xml:space="preserve">Talent Retention Pressure:</w:t>
      </w:r>
      <w:r>
        <w:t xml:space="preserve"> </w:t>
      </w:r>
      <w:r>
        <w:t xml:space="preserve">High competition for skilled lab techs in Saint Petersburg (salaries up 24% YoY) risks attrition. We’ve implemented a "Sales-Ready Technician" bonus structure where technicians earn 15-20% of closed deals they directly supported, reducing turnover to 8% vs. industry average of 23%.</w:t>
      </w:r>
    </w:p>
    <w:bookmarkEnd w:id="25"/>
    <w:bookmarkStart w:id="26" w:name="Xd06ff6e3994e698b903c6270ca89a716d72a784"/>
    <w:p>
      <w:pPr>
        <w:pStyle w:val="Heading2"/>
      </w:pPr>
      <w:r>
        <w:t xml:space="preserve">VII. Conclusion: The Unbreakable Sales-Tech Nexus</w:t>
      </w:r>
    </w:p>
    <w:p>
      <w:pPr>
        <w:pStyle w:val="FirstParagraph"/>
      </w:pPr>
      <w:r>
        <w:t xml:space="preserve">This report unequivocally demonstrates that in Russia’s Saint Petersburg laboratory market, the Laboratory Technician is not a support function—but a revenue engine. Where competitors view technicians as cost centers, our data shows they are strategic assets driving 31% of new revenue and preserving 42% of high-value accounts through technical trust-building. As Saint Petersburg’s healthcare sector modernizes under federal initiatives like "Digital Health" (2023-2025), the demand for technically adept professionals will intensify.</w:t>
      </w:r>
    </w:p>
    <w:p>
      <w:pPr>
        <w:pStyle w:val="BodyText"/>
      </w:pPr>
      <w:r>
        <w:t xml:space="preserve">We recommend prioritizing Laboratory Technician development as our core sales strategy for Russia, with Saint Petersburg serving as the blueprint. Investing in these technical specialists delivers measurable commercial returns: For every 1% increase in technician effectiveness (measured by client retention), we gain an average of ₽1.8M ($20K) in annual contract value within our Saint Petersburg operations. The future of diagnostics sales belongs to teams where bench precision fuels commercial excellence—and Saint Petersburg is proving the model.</w:t>
      </w:r>
    </w:p>
    <w:p>
      <w:pPr>
        <w:pStyle w:val="BodyText"/>
      </w:pPr>
      <w:r>
        <w:rPr>
          <w:bCs/>
          <w:b/>
        </w:rPr>
        <w:t xml:space="preserve">Prepared By:</w:t>
      </w:r>
      <w:r>
        <w:t xml:space="preserve"> </w:t>
      </w:r>
      <w:r>
        <w:t xml:space="preserve">Regional Sales Analytics Team |</w:t>
      </w:r>
      <w:r>
        <w:t xml:space="preserve"> </w:t>
      </w:r>
      <w:r>
        <w:rPr>
          <w:bCs/>
          <w:b/>
        </w:rPr>
        <w:t xml:space="preserve">Approved By:</w:t>
      </w:r>
      <w:r>
        <w:t xml:space="preserve"> </w:t>
      </w:r>
      <w:r>
        <w:t xml:space="preserve">Head of Russia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Russia Saint Petersburg</dc:title>
  <dc:creator/>
  <dc:language>en</dc:language>
  <cp:keywords/>
  <dcterms:created xsi:type="dcterms:W3CDTF">2026-07-24T16:53:19Z</dcterms:created>
  <dcterms:modified xsi:type="dcterms:W3CDTF">2026-07-24T16:53:19Z</dcterms:modified>
</cp:coreProperties>
</file>

<file path=docProps/custom.xml><?xml version="1.0" encoding="utf-8"?>
<Properties xmlns="http://schemas.openxmlformats.org/officeDocument/2006/custom-properties" xmlns:vt="http://schemas.openxmlformats.org/officeDocument/2006/docPropsVTypes"/>
</file>