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080907f0a032620be6cf55573cc7da8b00968e"/>
    <w:p>
      <w:pPr>
        <w:pStyle w:val="Heading1"/>
      </w:pPr>
      <w:r>
        <w:t xml:space="preserve">SALES REPORT &amp; PERFORMANCE ANALYSIS</w:t>
      </w:r>
      <w:r>
        <w:br/>
      </w:r>
      <w:r>
        <w:t xml:space="preserve">LABORATORY TECHNICIAN DEPARTMENT</w:t>
      </w:r>
      <w:r>
        <w:br/>
      </w:r>
      <w:r>
        <w:t xml:space="preserve">RIYADH, SAUDI ARABIA</w:t>
      </w:r>
    </w:p>
    <w:p>
      <w:pPr>
        <w:pStyle w:val="FirstParagraph"/>
      </w:pPr>
      <w:r>
        <w:t xml:space="preserve">Prepared for: Ministry of Health, Saudi Arabia</w:t>
      </w:r>
      <w:r>
        <w:br/>
      </w:r>
      <w:r>
        <w:t xml:space="preserve">Date: October 26, 2023</w:t>
      </w:r>
      <w:r>
        <w:br/>
      </w:r>
      <w:r>
        <w:t xml:space="preserve">Report Period: January 1 - September 30,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revenue contribution, and strategic impact of Laboratory Technicians across our diagnostic facilities in</w:t>
      </w:r>
      <w:r>
        <w:t xml:space="preserve"> </w:t>
      </w:r>
      <w:r>
        <w:rPr>
          <w:bCs/>
          <w:b/>
        </w:rPr>
        <w:t xml:space="preserve">Riyadh, Saudi Arabia</w:t>
      </w:r>
      <w:r>
        <w:t xml:space="preserve">. The report confirms that our dedicated team of Laboratory Technicians has exceeded key performance metrics by 18.7% year-over-year, directly supporting Saudi Vision 2030's healthcare transformation goals. In the competitive healthcare landscape of</w:t>
      </w:r>
      <w:r>
        <w:t xml:space="preserve"> </w:t>
      </w:r>
      <w:r>
        <w:rPr>
          <w:bCs/>
          <w:b/>
        </w:rPr>
        <w:t xml:space="preserve">Saudi Arabia Riyadh</w:t>
      </w:r>
      <w:r>
        <w:t xml:space="preserve">, these professionals have become pivotal in driving revenue growth while maintaining ISO-certified standards for medical diagnostics.</w:t>
      </w:r>
    </w:p>
    <w:bookmarkEnd w:id="20"/>
    <w:bookmarkStart w:id="21" w:name="market-context-strategic-importance"/>
    <w:p>
      <w:pPr>
        <w:pStyle w:val="Heading2"/>
      </w:pPr>
      <w:r>
        <w:t xml:space="preserve">Market Context &amp; Strategic Importance</w:t>
      </w:r>
    </w:p>
    <w:p>
      <w:pPr>
        <w:pStyle w:val="FirstParagraph"/>
      </w:pPr>
      <w:r>
        <w:t xml:space="preserve">The Kingdom's healthcare sector has undergone unprecedented expansion since Vision 2030 launched, with Riyadh emerging as the nation's primary healthcare hub. As of Q3 2023, over 45% of Saudi Arabia's diagnostic market operates from Riyadh facilities. In this environment, the role of a</w:t>
      </w:r>
      <w:r>
        <w:t xml:space="preserve"> </w:t>
      </w:r>
      <w:r>
        <w:rPr>
          <w:bCs/>
          <w:b/>
        </w:rPr>
        <w:t xml:space="preserve">laboratory technician</w:t>
      </w:r>
      <w:r>
        <w:t xml:space="preserve"> </w:t>
      </w:r>
      <w:r>
        <w:t xml:space="preserve">transcends traditional technical duties—they are now revenue drivers through high-volume testing services that directly generate clinic sales. Our data confirms that each certified Laboratory Technician in Riyadh contributes an average of 230+ tests monthly (exceeding the national benchmark by 34%), translating to direct revenue growth of SAR 18,500 per technician monthly.</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Q1-Q3 2023</w:t>
            </w:r>
          </w:p>
        </w:tc>
        <w:tc>
          <w:tcPr/>
          <w:p>
            <w:pPr>
              <w:pStyle w:val="Compact"/>
              <w:jc w:val="left"/>
            </w:pPr>
            <w:r>
              <w:t xml:space="preserve">Q1-Q3 2022</w:t>
            </w:r>
          </w:p>
        </w:tc>
        <w:tc>
          <w:tcPr/>
          <w:p>
            <w:pPr>
              <w:pStyle w:val="Compact"/>
              <w:jc w:val="left"/>
            </w:pPr>
            <w:r>
              <w:t xml:space="preserve">% Change</w:t>
            </w:r>
          </w:p>
        </w:tc>
      </w:tr>
      <w:tr>
        <w:tc>
          <w:tcPr/>
          <w:p>
            <w:pPr>
              <w:pStyle w:val="Compact"/>
              <w:jc w:val="left"/>
            </w:pPr>
            <w:r>
              <w:t xml:space="preserve">Total Diagnostic Tests (Riyadh Facilities)</w:t>
            </w:r>
          </w:p>
        </w:tc>
        <w:tc>
          <w:tcPr/>
          <w:p>
            <w:pPr>
              <w:pStyle w:val="Compact"/>
              <w:jc w:val="left"/>
            </w:pPr>
            <w:r>
              <w:t xml:space="preserve">418,750</w:t>
            </w:r>
          </w:p>
        </w:tc>
        <w:tc>
          <w:tcPr/>
          <w:p>
            <w:pPr>
              <w:pStyle w:val="Compact"/>
              <w:jc w:val="left"/>
            </w:pPr>
            <w:r>
              <w:t xml:space="preserve">352,100</w:t>
            </w:r>
          </w:p>
        </w:tc>
        <w:tc>
          <w:tcPr/>
          <w:p>
            <w:pPr>
              <w:pStyle w:val="Compact"/>
              <w:jc w:val="left"/>
            </w:pPr>
            <w:r>
              <w:t xml:space="preserve">+18.9%</w:t>
            </w:r>
          </w:p>
        </w:tc>
      </w:tr>
      <w:tr>
        <w:tc>
          <w:tcPr/>
          <w:p>
            <w:pPr>
              <w:pStyle w:val="Compact"/>
              <w:jc w:val="left"/>
            </w:pPr>
            <w:r>
              <w:t xml:space="preserve">Average Revenue Per Technician (Monthly)</w:t>
            </w:r>
          </w:p>
        </w:tc>
        <w:tc>
          <w:tcPr/>
          <w:p>
            <w:pPr>
              <w:pStyle w:val="Compact"/>
              <w:jc w:val="left"/>
            </w:pPr>
            <w:r>
              <w:t xml:space="preserve">SAR 18,500</w:t>
            </w:r>
          </w:p>
        </w:tc>
        <w:tc>
          <w:tcPr/>
          <w:p>
            <w:pPr>
              <w:pStyle w:val="Compact"/>
              <w:jc w:val="left"/>
            </w:pPr>
            <w:r>
              <w:t xml:space="preserve">SAR 15,560</w:t>
            </w:r>
          </w:p>
        </w:tc>
        <w:tc>
          <w:tcPr/>
          <w:p>
            <w:pPr>
              <w:pStyle w:val="Compact"/>
              <w:jc w:val="left"/>
            </w:pPr>
            <w:r>
              <w:t xml:space="preserve">+18.7%</w:t>
            </w:r>
          </w:p>
        </w:tc>
      </w:tr>
      <w:tr>
        <w:tc>
          <w:tcPr/>
          <w:p>
            <w:pPr>
              <w:pStyle w:val="Compact"/>
              <w:jc w:val="left"/>
            </w:pPr>
            <w:r>
              <w:t xml:space="preserve">Client Retention Rate (Premium Hospitals)</w:t>
            </w:r>
          </w:p>
        </w:tc>
        <w:tc>
          <w:tcPr/>
          <w:p>
            <w:pPr>
              <w:pStyle w:val="Compact"/>
              <w:jc w:val="left"/>
            </w:pPr>
            <w:r>
              <w:t xml:space="preserve">94.2%</w:t>
            </w:r>
          </w:p>
        </w:tc>
        <w:tc>
          <w:tcPr/>
          <w:p>
            <w:pPr>
              <w:pStyle w:val="Compact"/>
              <w:jc w:val="left"/>
            </w:pPr>
            <w:r>
              <w:t xml:space="preserve">87.5%</w:t>
            </w:r>
          </w:p>
        </w:tc>
        <w:tc>
          <w:tcPr/>
          <w:p>
            <w:pPr>
              <w:pStyle w:val="Compact"/>
              <w:jc w:val="left"/>
            </w:pPr>
            <w:r>
              <w:t xml:space="preserve">+6.7 pts</w:t>
            </w:r>
          </w:p>
        </w:tc>
      </w:tr>
      <w:tr>
        <w:tc>
          <w:tcPr/>
          <w:p>
            <w:pPr>
              <w:pStyle w:val="Compact"/>
              <w:jc w:val="left"/>
            </w:pPr>
            <w:r>
              <w:t xml:space="preserve">Turnaround Time (TAT) Compliance</w:t>
            </w:r>
          </w:p>
        </w:tc>
        <w:tc>
          <w:tcPr/>
          <w:p>
            <w:pPr>
              <w:pStyle w:val="Compact"/>
              <w:jc w:val="left"/>
            </w:pPr>
            <w:r>
              <w:t xml:space="preserve">98.3%</w:t>
            </w:r>
          </w:p>
        </w:tc>
        <w:tc>
          <w:tcPr/>
          <w:p>
            <w:pPr>
              <w:pStyle w:val="Compact"/>
              <w:jc w:val="left"/>
            </w:pPr>
            <w:r>
              <w:t xml:space="preserve">92.1%</w:t>
            </w:r>
          </w:p>
        </w:tc>
        <w:tc>
          <w:tcPr/>
          <w:p>
            <w:pPr>
              <w:pStyle w:val="Compact"/>
              <w:jc w:val="left"/>
            </w:pPr>
            <w:r>
              <w:t xml:space="preserve">+6.2 pts</w:t>
            </w:r>
          </w:p>
        </w:tc>
      </w:tr>
    </w:tbl>
    <w:p>
      <w:pPr>
        <w:pStyle w:val="BodyText"/>
      </w:pPr>
      <w:r>
        <w:t xml:space="preserve">The 18.7% revenue growth directly correlates with strategic recruitment of specialized Laboratory Technicians in Riyadh, particularly in high-demand areas like molecular diagnostics (35% YoY increase) and rapid infectious disease testing (42% YoY). Notably, our technicians' precision in sample processing reduced billing errors by 29%, directly protecting sales integrity—a critical factor for Saudi Arabia's healthcare accreditation bodies.</w:t>
      </w:r>
    </w:p>
    <w:bookmarkEnd w:id="22"/>
    <w:bookmarkStart w:id="23" w:name="operational-excellence-in-riyadh"/>
    <w:p>
      <w:pPr>
        <w:pStyle w:val="Heading2"/>
      </w:pPr>
      <w:r>
        <w:t xml:space="preserve">Operational Excellence in Riyadh</w:t>
      </w:r>
    </w:p>
    <w:p>
      <w:pPr>
        <w:pStyle w:val="FirstParagraph"/>
      </w:pPr>
      <w:r>
        <w:t xml:space="preserve">Our</w:t>
      </w:r>
      <w:r>
        <w:t xml:space="preserve"> </w:t>
      </w:r>
      <w:r>
        <w:rPr>
          <w:bCs/>
          <w:b/>
        </w:rPr>
        <w:t xml:space="preserve">laboratory technician</w:t>
      </w:r>
      <w:r>
        <w:t xml:space="preserve"> </w:t>
      </w:r>
      <w:r>
        <w:t xml:space="preserve">teams in Riyadh have implemented three revenue-boosting innovations:</w:t>
      </w:r>
    </w:p>
    <w:p>
      <w:pPr>
        <w:numPr>
          <w:ilvl w:val="0"/>
          <w:numId w:val="1001"/>
        </w:numPr>
        <w:pStyle w:val="Compact"/>
      </w:pPr>
      <w:r>
        <w:rPr>
          <w:bCs/>
          <w:b/>
        </w:rPr>
        <w:t xml:space="preserve">Precision Testing Protocol:</w:t>
      </w:r>
      <w:r>
        <w:t xml:space="preserve"> </w:t>
      </w:r>
      <w:r>
        <w:t xml:space="preserve">Standardized workflows for hematology and chemistry tests reduced retest rates by 22%, converting potential lost sales into confirmed revenue. In Riyadh's high-volume clinics, this saved an estimated SAR 850,000 in annual waste.</w:t>
      </w:r>
    </w:p>
    <w:p>
      <w:pPr>
        <w:numPr>
          <w:ilvl w:val="0"/>
          <w:numId w:val="1001"/>
        </w:numPr>
        <w:pStyle w:val="Compact"/>
      </w:pPr>
      <w:r>
        <w:rPr>
          <w:bCs/>
          <w:b/>
        </w:rPr>
        <w:t xml:space="preserve">Mobile Sample Collection:</w:t>
      </w:r>
      <w:r>
        <w:t xml:space="preserve"> </w:t>
      </w:r>
      <w:r>
        <w:t xml:space="preserve">Technicians now coordinate with field staff for hospital-to-lab specimen transport (covering 127 facilities across Riyadh), increasing test volume by 15% without additional equipment costs.</w:t>
      </w:r>
    </w:p>
    <w:p>
      <w:pPr>
        <w:numPr>
          <w:ilvl w:val="0"/>
          <w:numId w:val="1001"/>
        </w:numPr>
        <w:pStyle w:val="Compact"/>
      </w:pPr>
      <w:r>
        <w:rPr>
          <w:bCs/>
          <w:b/>
        </w:rPr>
        <w:t xml:space="preserve">Vision 2030 Compliance Training:</w:t>
      </w:r>
      <w:r>
        <w:t xml:space="preserve"> </w:t>
      </w:r>
      <w:r>
        <w:t xml:space="preserve">Mandatory certification in Saudi Ministry of Health guidelines ensured all technicians met the new "Healthcare Data Accuracy" standards, directly qualifying our lab services for government contracts worth SAR 4.7M quarterly.</w:t>
      </w:r>
    </w:p>
    <w:bookmarkEnd w:id="23"/>
    <w:bookmarkStart w:id="24" w:name="challenges-strategic-solutions"/>
    <w:p>
      <w:pPr>
        <w:pStyle w:val="Heading2"/>
      </w:pPr>
      <w:r>
        <w:t xml:space="preserve">Challenges &amp; Strategic Solutions</w:t>
      </w:r>
    </w:p>
    <w:p>
      <w:pPr>
        <w:pStyle w:val="FirstParagraph"/>
      </w:pPr>
      <w:r>
        <w:t xml:space="preserve">Despite strong performance, Riyadh's unique healthcare demands presented challenges:</w:t>
      </w:r>
    </w:p>
    <w:p>
      <w:pPr>
        <w:numPr>
          <w:ilvl w:val="0"/>
          <w:numId w:val="1002"/>
        </w:numPr>
        <w:pStyle w:val="Compact"/>
      </w:pPr>
      <w:r>
        <w:rPr>
          <w:bCs/>
          <w:b/>
        </w:rPr>
        <w:t xml:space="preserve">Peak Season Demand (Ramadan):</w:t>
      </w:r>
      <w:r>
        <w:t xml:space="preserve"> </w:t>
      </w:r>
      <w:r>
        <w:t xml:space="preserve">During the holy month, testing volume surged by 37% but technician availability dropped. *Solution:* Implemented rotating shift schedules with 24/7 coverage (approved by Riyadh Health Directorate), maintaining sales continuity during critical periods.</w:t>
      </w:r>
    </w:p>
    <w:p>
      <w:pPr>
        <w:numPr>
          <w:ilvl w:val="0"/>
          <w:numId w:val="1002"/>
        </w:numPr>
        <w:pStyle w:val="Compact"/>
      </w:pPr>
      <w:r>
        <w:rPr>
          <w:bCs/>
          <w:b/>
        </w:rPr>
        <w:t xml:space="preserve">Specialized Skill Gap:</w:t>
      </w:r>
      <w:r>
        <w:t xml:space="preserve"> </w:t>
      </w:r>
      <w:r>
        <w:t xml:space="preserve">Demand for genetic testing technicians exceeded local talent pool. *Solution:* Partnered with King Abdullah International Medical Research Center (KAIMRC) in Riyadh for targeted training, filling 12 positions within 90 days—boosting specialized test sales by 63%.</w:t>
      </w:r>
    </w:p>
    <w:p>
      <w:pPr>
        <w:numPr>
          <w:ilvl w:val="0"/>
          <w:numId w:val="1002"/>
        </w:numPr>
        <w:pStyle w:val="Compact"/>
      </w:pPr>
      <w:r>
        <w:rPr>
          <w:bCs/>
          <w:b/>
        </w:rPr>
        <w:t xml:space="preserve">Technology Integration:</w:t>
      </w:r>
      <w:r>
        <w:t xml:space="preserve"> </w:t>
      </w:r>
      <w:r>
        <w:t xml:space="preserve">Legacy systems caused data entry delays. *Solution:* Deployed Saudi-made "Al-Salam" LIMS (Laboratory Information Management System) certified by MOH, reducing processing time per test by 28% and increasing daily sales capacity.</w:t>
      </w:r>
    </w:p>
    <w:bookmarkEnd w:id="24"/>
    <w:bookmarkStart w:id="25" w:name="future-roadmap-for-riyadh-operations"/>
    <w:p>
      <w:pPr>
        <w:pStyle w:val="Heading2"/>
      </w:pPr>
      <w:r>
        <w:t xml:space="preserve">Future Roadmap for Riyadh Operations</w:t>
      </w:r>
    </w:p>
    <w:p>
      <w:pPr>
        <w:pStyle w:val="FirstParagraph"/>
      </w:pPr>
      <w:r>
        <w:t xml:space="preserve">Building on this success, our 2024 strategy prioritizes three revenue-growth pillars for the Laboratory Technician workforce in Saudi Arabia:</w:t>
      </w:r>
    </w:p>
    <w:p>
      <w:pPr>
        <w:numPr>
          <w:ilvl w:val="0"/>
          <w:numId w:val="1003"/>
        </w:numPr>
        <w:pStyle w:val="Compact"/>
      </w:pPr>
      <w:r>
        <w:rPr>
          <w:bCs/>
          <w:b/>
        </w:rPr>
        <w:t xml:space="preserve">AI-Powered Test Volume Forecasting:</w:t>
      </w:r>
      <w:r>
        <w:t xml:space="preserve"> </w:t>
      </w:r>
      <w:r>
        <w:t xml:space="preserve">Integrating predictive analytics to align technician scheduling with Riyadh's seasonal health trends (e.g., respiratory illnesses in winter), targeting 25% higher test volume utilization.</w:t>
      </w:r>
    </w:p>
    <w:p>
      <w:pPr>
        <w:numPr>
          <w:ilvl w:val="0"/>
          <w:numId w:val="1003"/>
        </w:numPr>
        <w:pStyle w:val="Compact"/>
      </w:pPr>
      <w:r>
        <w:rPr>
          <w:bCs/>
          <w:b/>
        </w:rPr>
        <w:t xml:space="preserve">Saudi-Local Talent Development:</w:t>
      </w:r>
      <w:r>
        <w:t xml:space="preserve"> </w:t>
      </w:r>
      <w:r>
        <w:t xml:space="preserve">Launching "Riyadh Lab Excellence" apprenticeship with Saudi universities, aiming to train 80+ local technicians annually by 2025 (reducing recruitment costs while boosting community impact).</w:t>
      </w:r>
    </w:p>
    <w:p>
      <w:pPr>
        <w:numPr>
          <w:ilvl w:val="0"/>
          <w:numId w:val="1003"/>
        </w:numPr>
        <w:pStyle w:val="Compact"/>
      </w:pPr>
      <w:r>
        <w:rPr>
          <w:bCs/>
          <w:b/>
        </w:rPr>
        <w:t xml:space="preserve">Value-Based Service Expansion:</w:t>
      </w:r>
      <w:r>
        <w:t xml:space="preserve"> </w:t>
      </w:r>
      <w:r>
        <w:t xml:space="preserve">Creating premium diagnostic packages (e.g., "Vision 2030 Health Check") where Laboratory Technicians lead client consultations—expected to increase average revenue per patient by 31%.</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the Laboratory Technician is not merely a technical role but a strategic revenue engine in</w:t>
      </w:r>
      <w:r>
        <w:t xml:space="preserve"> </w:t>
      </w:r>
      <w:r>
        <w:rPr>
          <w:bCs/>
          <w:b/>
        </w:rPr>
        <w:t xml:space="preserve">Riyadh, Saudi Arabia</w:t>
      </w:r>
      <w:r>
        <w:t xml:space="preserve">. Our technicians' 18.7% YoY sales growth has positioned us as the top diagnostic provider in the Kingdom's capital, directly supporting Saudi Vision 2030's healthcare objectives. Crucially, this success stems from aligning technician development with Riyadh's unique market needs—from Ramadan operational planning to MOH compliance—and embedding them as revenue architects within our business model.</w:t>
      </w:r>
    </w:p>
    <w:p>
      <w:pPr>
        <w:pStyle w:val="BodyText"/>
      </w:pPr>
      <w:r>
        <w:t xml:space="preserve">As the Saudi healthcare sector continues its transformative growth, the Laboratory Technician will remain central to sales performance in Riyadh. We recommend scaling this proven model across all Kingdom facilities while deepening local talent pipelines. The data is clear: investing in exceptional laboratory technicians isn't just about diagnostics—it's about driving sustainable revenue in</w:t>
      </w:r>
      <w:r>
        <w:t xml:space="preserve"> </w:t>
      </w:r>
      <w:r>
        <w:rPr>
          <w:bCs/>
          <w:b/>
        </w:rPr>
        <w:t xml:space="preserve">Saudi Arabia Riyadh</w:t>
      </w:r>
      <w:r>
        <w:t xml:space="preserve">.</w:t>
      </w:r>
    </w:p>
    <w:p>
      <w:pPr>
        <w:pStyle w:val="BodyText"/>
      </w:pPr>
      <w:r>
        <w:t xml:space="preserve">Prepared by:</w:t>
      </w:r>
      <w:r>
        <w:br/>
      </w:r>
      <w:r>
        <w:t xml:space="preserve">Healthcare Analytics Division, Saudi Diagnostics Network</w:t>
      </w:r>
      <w:r>
        <w:br/>
      </w:r>
      <w:r>
        <w:t xml:space="preserve">Riyadh, Saudi Arabia</w:t>
      </w:r>
    </w:p>
    <w:p>
      <w:pPr>
        <w:pStyle w:val="BodyText"/>
      </w:pPr>
      <w:r>
        <w:t xml:space="preserve">This report complies with Saudi Ministry of Health Circular No. (2023/HR-56) and Riyadh Healthcare Data Standards</w:t>
      </w:r>
    </w:p>
    <w:p>
      <w:pPr>
        <w:pStyle w:val="BodyText"/>
      </w:pPr>
      <w:r>
        <w:t xml:space="preserve">Document Reference: SDR-LT-RIY-2023-Q3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Performance in Riyadh, Saudi Arabia</dc:title>
  <dc:creator/>
  <dc:language>en</dc:language>
  <cp:keywords/>
  <dcterms:created xsi:type="dcterms:W3CDTF">2026-07-21T07:19:21Z</dcterms:created>
  <dcterms:modified xsi:type="dcterms:W3CDTF">2026-07-21T07:19:21Z</dcterms:modified>
</cp:coreProperties>
</file>

<file path=docProps/custom.xml><?xml version="1.0" encoding="utf-8"?>
<Properties xmlns="http://schemas.openxmlformats.org/officeDocument/2006/custom-properties" xmlns:vt="http://schemas.openxmlformats.org/officeDocument/2006/docPropsVTypes"/>
</file>