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Laboratory</w:t>
      </w:r>
      <w:r>
        <w:t xml:space="preserve"> </w:t>
      </w:r>
      <w:r>
        <w:t xml:space="preserve">Technician</w:t>
      </w:r>
      <w:r>
        <w:t xml:space="preserve"> </w:t>
      </w:r>
      <w:r>
        <w:t xml:space="preserve">Sales</w:t>
      </w:r>
      <w:r>
        <w:t xml:space="preserve"> </w:t>
      </w:r>
      <w:r>
        <w:t xml:space="preserve">Performance</w:t>
      </w:r>
      <w:r>
        <w:t xml:space="preserve"> </w:t>
      </w:r>
      <w:r>
        <w:t xml:space="preserve">Report</w:t>
      </w:r>
    </w:p>
    <w:bookmarkStart w:id="29" w:name="X0e7b2bcb719dc74290a1115d3397b03b4e8f572"/>
    <w:p>
      <w:pPr>
        <w:pStyle w:val="Heading1"/>
      </w:pPr>
      <w:r>
        <w:t xml:space="preserve">Comprehensive Sales Report: Laboratory Technician Performance &amp; Market Impact in Abu Dhabi, United Arab Emirates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Abu Dhabi Healthcare Network</w:t>
      </w:r>
    </w:p>
    <w:bookmarkStart w:id="20" w:name="executive-summary"/>
    <w:p>
      <w:pPr>
        <w:pStyle w:val="Heading2"/>
      </w:pPr>
      <w:r>
        <w:t xml:space="preserve">Executive Summary</w:t>
      </w:r>
    </w:p>
    <w:p>
      <w:pPr>
        <w:pStyle w:val="FirstParagraph"/>
      </w:pPr>
      <w:r>
        <w:t xml:space="preserve">This Sales Report details the performance metrics, market contribution, and strategic impact of our Laboratory Technician team across Abu Dhabi. As a critical component of healthcare service delivery in the United Arab Emirates (UAE), our technicians directly influence patient outcomes, client retention, and revenue growth. The data demonstrates that optimized Laboratory Technician operations have generated AED 4.2 million in incremental sales within the Abu Dhabi market over Q3 2023 alone, affirming their role as key revenue drivers rather than merely support staff. This report establishes a benchmark for how strategic investment in skilled laboratory personnel directly fuels commercial success in Abu Dhabi's competitive healthcare sector.</w:t>
      </w:r>
    </w:p>
    <w:bookmarkEnd w:id="20"/>
    <w:bookmarkStart w:id="21" w:name="X5d6835238087cde8ec2688983e2fc0cacb47021"/>
    <w:p>
      <w:pPr>
        <w:pStyle w:val="Heading2"/>
      </w:pPr>
      <w:r>
        <w:t xml:space="preserve">Market Context: Laboratory Technician Demand in Abu Dhabi</w:t>
      </w:r>
    </w:p>
    <w:p>
      <w:pPr>
        <w:pStyle w:val="FirstParagraph"/>
      </w:pPr>
      <w:r>
        <w:t xml:space="preserve">The United Arab Emirates, particularly Abu Dhabi, has accelerated its healthcare transformation under Vision 2030. With over 45 private diagnostic centers and 18 major hospitals operating in Abu Dhabi, demand for certified laboratory services has surged by 32% YoY. The UAE Ministry of Health's new accreditation standards (MOH-AMC-2022) mandate stricter technician-to-test ratios, creating unprecedented opportunities for specialized Laboratory Technicians. In this high-stakes environment, our technicians are not just technical staff—they are commercial assets whose efficiency directly impacts client acquisition and retention rates. Competitors in Abu Dhabi report 18% higher patient turnover where technician staffing falls below MOH guidelines.</w:t>
      </w:r>
    </w:p>
    <w:bookmarkEnd w:id="21"/>
    <w:bookmarkStart w:id="22" w:name="X5d25a6017589e3844801602a06573e67bf0afae"/>
    <w:p>
      <w:pPr>
        <w:pStyle w:val="Heading2"/>
      </w:pPr>
      <w:r>
        <w:t xml:space="preserve">Sales Performance Metrics: Technician Impact on Revenue</w:t>
      </w:r>
    </w:p>
    <w:p>
      <w:pPr>
        <w:pStyle w:val="FirstParagraph"/>
      </w:pPr>
      <w:r>
        <w:t xml:space="preserve">Key Metric</w:t>
      </w:r>
    </w:p>
    <w:p>
      <w:pPr>
        <w:pStyle w:val="BodyText"/>
      </w:pPr>
      <w:r>
        <w:t xml:space="preserve">Q3 2023 Result</w:t>
      </w:r>
    </w:p>
    <w:p>
      <w:pPr>
        <w:pStyle w:val="BodyText"/>
      </w:pPr>
      <w:r>
        <w:t xml:space="preserve">% vs. Q2 2023</w:t>
      </w:r>
    </w:p>
    <w:p>
      <w:pPr>
        <w:pStyle w:val="BodyText"/>
      </w:pPr>
      <w:r>
        <w:t xml:space="preserve">Abu Dhabi Market Avg.</w:t>
      </w:r>
    </w:p>
    <w:p>
      <w:pPr>
        <w:pStyle w:val="BodyText"/>
      </w:pPr>
      <w:r>
        <w:t xml:space="preserve">Monthly Test Volume per Technician</w:t>
      </w:r>
    </w:p>
    <w:p>
      <w:pPr>
        <w:pStyle w:val="BodyText"/>
      </w:pPr>
      <w:r>
        <w:t xml:space="preserve">485 tests</w:t>
      </w:r>
    </w:p>
    <w:p>
      <w:pPr>
        <w:pStyle w:val="BodyText"/>
      </w:pPr>
      <w:r>
        <w:t xml:space="preserve">+17.6%</w:t>
      </w:r>
    </w:p>
    <w:p>
      <w:pPr>
        <w:pStyle w:val="BodyText"/>
      </w:pPr>
      <w:r>
        <w:t xml:space="preserve">392 tests</w:t>
      </w:r>
    </w:p>
    <w:p>
      <w:pPr>
        <w:pStyle w:val="BodyText"/>
      </w:pPr>
      <w:r>
        <w:t xml:space="preserve">Average Turnaround Time (TAT)</w:t>
      </w:r>
    </w:p>
    <w:p>
      <w:pPr>
        <w:pStyle w:val="BodyText"/>
      </w:pPr>
      <w:r>
        <w:t xml:space="preserve">18.3 hrs</w:t>
      </w:r>
    </w:p>
    <w:p>
      <w:pPr>
        <w:pStyle w:val="BodyText"/>
      </w:pPr>
      <w:r>
        <w:t xml:space="preserve">-24% reduction</w:t>
      </w:r>
    </w:p>
    <w:p>
      <w:pPr>
        <w:pStyle w:val="BodyText"/>
      </w:pPr>
      <w:r>
        <w:t xml:space="preserve">&lt;</w:t>
      </w:r>
    </w:p>
    <w:p>
      <w:pPr>
        <w:pStyle w:val="BodyText"/>
      </w:pPr>
      <w:r>
        <w:t xml:space="preserve">24.1 hrs</w:t>
      </w:r>
    </w:p>
    <w:p>
      <w:pPr>
        <w:pStyle w:val="BodyText"/>
      </w:pPr>
      <w:r>
        <w:t xml:space="preserve">Clinic Referral Rate from Repeat Clients</w:t>
      </w:r>
    </w:p>
    <w:p>
      <w:pPr>
        <w:pStyle w:val="BodyText"/>
      </w:pPr>
      <w:r>
        <w:t xml:space="preserve">67%</w:t>
      </w:r>
    </w:p>
    <w:p>
      <w:pPr>
        <w:pStyle w:val="BodyText"/>
      </w:pPr>
      <w:r>
        <w:t xml:space="preserve">+9.5%</w:t>
      </w:r>
    </w:p>
    <w:p>
      <w:pPr>
        <w:pStyle w:val="BodyText"/>
      </w:pPr>
      <w:r>
        <w:rPr>
          <w:bCs/>
          <w:b/>
        </w:rPr>
        <w:t xml:space="preserve">N/A (Industry Standard)</w:t>
      </w:r>
    </w:p>
    <w:p>
      <w:pPr>
        <w:pStyle w:val="BodyText"/>
      </w:pPr>
      <w:r>
        <w:t xml:space="preserve">Revenue Generated per Technician</w:t>
      </w:r>
    </w:p>
    <w:p>
      <w:pPr>
        <w:pStyle w:val="BodyText"/>
      </w:pPr>
      <w:r>
        <w:t xml:space="preserve">AED 148,200</w:t>
      </w:r>
    </w:p>
    <w:p>
      <w:pPr>
        <w:pStyle w:val="BodyText"/>
      </w:pPr>
      <w:r>
        <w:t xml:space="preserve">&lt;</w:t>
      </w:r>
    </w:p>
    <w:p>
      <w:pPr>
        <w:pStyle w:val="BodyText"/>
      </w:pPr>
      <w:r>
        <w:t xml:space="preserve">+23.1%</w:t>
      </w:r>
    </w:p>
    <w:p>
      <w:pPr>
        <w:pStyle w:val="BodyText"/>
      </w:pPr>
      <w:r>
        <w:t xml:space="preserve">AED 120,300</w:t>
      </w:r>
    </w:p>
    <w:p>
      <w:pPr>
        <w:pStyle w:val="BodyText"/>
      </w:pPr>
      <w:r>
        <w:t xml:space="preserve">These metrics translate directly to commercial impact: Faster TAT (achieving Abu Dhabi's new 48-hour standard for critical tests) has reduced client churn by 15%, while superior test accuracy (99.7% vs. market avg. 97.2%) has attracted high-value contracts from Abu Dhabi-based corporate clients like ADNOC and Etihad Airways' health programs.</w:t>
      </w:r>
    </w:p>
    <w:bookmarkEnd w:id="22"/>
    <w:bookmarkStart w:id="25" w:name="strategic-sales-driver-analysis"/>
    <w:p>
      <w:pPr>
        <w:pStyle w:val="Heading2"/>
      </w:pPr>
      <w:r>
        <w:t xml:space="preserve">Strategic Sales Driver Analysis</w:t>
      </w:r>
    </w:p>
    <w:bookmarkStart w:id="23" w:name="Xfada279a58fda756803b00552351bfcb0152a6c"/>
    <w:p>
      <w:pPr>
        <w:pStyle w:val="Heading3"/>
      </w:pPr>
      <w:r>
        <w:t xml:space="preserve">1. Client Acquisition Through Technical Excellence</w:t>
      </w:r>
    </w:p>
    <w:p>
      <w:pPr>
        <w:pStyle w:val="FirstParagraph"/>
      </w:pPr>
      <w:r>
        <w:t xml:space="preserve">Laboratory Technicians are our frontline sales ambassadors in Abu Dhabi's healthcare ecosystem. During Q3, 57% of new contracts originated from referrals by existing clients praising technician responsiveness during urgent cases—a critical differentiator in Abu Dhabi's time-sensitive medical market. A key example: When a major Abu Dhabi hospital requested emergency pathogen testing for a VIP patient, our technician team delivered results 12 hours ahead of schedule, securing a multi-million dirham annual contract.</w:t>
      </w:r>
    </w:p>
    <w:bookmarkEnd w:id="23"/>
    <w:bookmarkStart w:id="24" w:name="cost-efficiency-driving-profitability"/>
    <w:p>
      <w:pPr>
        <w:pStyle w:val="Heading3"/>
      </w:pPr>
      <w:r>
        <w:t xml:space="preserve">2. Cost Efficiency Driving Profitability</w:t>
      </w:r>
    </w:p>
    <w:p>
      <w:pPr>
        <w:pStyle w:val="FirstParagraph"/>
      </w:pPr>
      <w:r>
        <w:t xml:space="preserve">Optimized technician workflows reduced operational costs by 8.3% through minimized retesting (from 6.2% to 3.1%), directly boosting net revenue margins to 42% (vs. Abu Dhabi industry average of 35%). In the UAE's competitive lab market, this allows aggressive pricing for new service bundles without eroding profitability—evidenced by our successful launch of "Abu Dhabi Health Screening Packages" which contributed AED 1.8 million in Q3 sales.</w:t>
      </w:r>
    </w:p>
    <w:p>
      <w:pPr>
        <w:pStyle w:val="BodyText"/>
      </w:pPr>
      <w:r>
        <w:t xml:space="preserve">3. Regulatory Compliance as Sales Enablement</w:t>
      </w:r>
    </w:p>
    <w:p>
      <w:pPr>
        <w:pStyle w:val="BodyText"/>
      </w:pPr>
      <w:r>
        <w:t xml:space="preserve">The UAE's MOH-AMC certification requirements now mandate that 90% of laboratory staff maintain continuous professional development (CPD) hours. Our technicians' average 45 CPD hours/year (exceeding the 28-hour requirement) positions us as a trusted partner for Abu Dhabi government tenders. This compliance focus secured three major contracts with Abu Dhabi Health Authority (HAAD), representing AED 1.1 million in annual recurring revenue.</w:t>
      </w:r>
    </w:p>
    <w:bookmarkEnd w:id="24"/>
    <w:bookmarkEnd w:id="25"/>
    <w:bookmarkStart w:id="26" w:name="abu-dhabi-specific-challenges-solutions"/>
    <w:p>
      <w:pPr>
        <w:pStyle w:val="Heading2"/>
      </w:pPr>
      <w:r>
        <w:t xml:space="preserve">Abu Dhabi-Specific Challenges &amp; Solutions</w:t>
      </w:r>
    </w:p>
    <w:p>
      <w:pPr>
        <w:pStyle w:val="FirstParagraph"/>
      </w:pPr>
      <w:r>
        <w:rPr>
          <w:iCs/>
          <w:i/>
        </w:rPr>
        <w:t xml:space="preserve">Challenge: High Technician Turnover</w:t>
      </w:r>
    </w:p>
    <w:p>
      <w:pPr>
        <w:pStyle w:val="BodyText"/>
      </w:pPr>
      <w:r>
        <w:t xml:space="preserve">The UAE's transient workforce culture has caused 28% annual turnover in lab roles. To counter this, we implemented Abu Dhabi-specific retention strategies:</w:t>
      </w:r>
    </w:p>
    <w:p>
      <w:pPr>
        <w:numPr>
          <w:ilvl w:val="0"/>
          <w:numId w:val="1001"/>
        </w:numPr>
        <w:pStyle w:val="Compact"/>
      </w:pPr>
      <w:r>
        <w:t xml:space="preserve">Relocation packages with visa sponsorship (critical for expatriate technicians)</w:t>
      </w:r>
    </w:p>
    <w:p>
      <w:pPr>
        <w:numPr>
          <w:ilvl w:val="0"/>
          <w:numId w:val="1001"/>
        </w:numPr>
        <w:pStyle w:val="Compact"/>
      </w:pPr>
      <w:r>
        <w:t xml:space="preserve">Certification subsidies for UAE MOH accreditation</w:t>
      </w:r>
    </w:p>
    <w:p>
      <w:pPr>
        <w:numPr>
          <w:ilvl w:val="0"/>
          <w:numId w:val="1001"/>
        </w:numPr>
        <w:pStyle w:val="Compact"/>
      </w:pPr>
      <w:r>
        <w:t xml:space="preserve">Quarterly community health outreach programs in Abu Dhabi neighborhoods (building local brand affinity)</w:t>
      </w:r>
    </w:p>
    <w:p>
      <w:pPr>
        <w:pStyle w:val="FirstParagraph"/>
      </w:pPr>
      <w:r>
        <w:t xml:space="preserve">This reduced turnover to 14% (below Abu Dhabi industry average of 22%) and improved client trust—87% of surveyed hospitals cited technician continuity as a key factor in renewal decisions.</w:t>
      </w:r>
    </w:p>
    <w:bookmarkEnd w:id="26"/>
    <w:bookmarkStart w:id="27" w:name="X3b83549f27a4831a6a47b22da7796816befe257"/>
    <w:p>
      <w:pPr>
        <w:pStyle w:val="Heading2"/>
      </w:pPr>
      <w:r>
        <w:t xml:space="preserve">Strategic Recommendations for Sales Growth</w:t>
      </w:r>
    </w:p>
    <w:p>
      <w:pPr>
        <w:numPr>
          <w:ilvl w:val="0"/>
          <w:numId w:val="1002"/>
        </w:numPr>
        <w:pStyle w:val="Compact"/>
      </w:pPr>
      <w:r>
        <w:rPr>
          <w:bCs/>
          <w:b/>
        </w:rPr>
        <w:t xml:space="preserve">Launch Abu Dhabi "Digital Lab" Initiative</w:t>
      </w:r>
      <w:r>
        <w:t xml:space="preserve">: Invest in AI-driven lab automation to increase technician test capacity by 30% without headcount, targeting the 40% unmet demand in Abu Dhabi's corporate health screening market.</w:t>
      </w:r>
    </w:p>
    <w:p>
      <w:pPr>
        <w:numPr>
          <w:ilvl w:val="0"/>
          <w:numId w:val="1002"/>
        </w:numPr>
        <w:pStyle w:val="Compact"/>
      </w:pPr>
      <w:r>
        <w:rPr>
          <w:bCs/>
          <w:b/>
        </w:rPr>
        <w:t xml:space="preserve">Develop UAE-Specific Certification Tracks</w:t>
      </w:r>
      <w:r>
        <w:t xml:space="preserve">: Partner with Khalifa University and HAAD to create a certified "Laboratory Technician for UAE Healthcare" program, positioning us as industry standard-setters for sales differentiation.</w:t>
      </w:r>
    </w:p>
    <w:p>
      <w:pPr>
        <w:numPr>
          <w:ilvl w:val="0"/>
          <w:numId w:val="1002"/>
        </w:numPr>
        <w:pStyle w:val="Compact"/>
      </w:pPr>
      <w:r>
        <w:rPr>
          <w:bCs/>
          <w:b/>
        </w:rPr>
        <w:t xml:space="preserve">Expand Abu Dhabi Health Partnership Program</w:t>
      </w:r>
      <w:r>
        <w:t xml:space="preserve">: Create tiered service packages for Dubai-Abu Dhabi cross-border clients (e.g., "Emirates Wellness Passport") where our technicians provide on-site testing at Abu Dhabi corporate hubs, capturing 15% of estimated AED 3.2 billion regional health screening market.</w:t>
      </w:r>
    </w:p>
    <w:bookmarkEnd w:id="27"/>
    <w:bookmarkStart w:id="28" w:name="X81a013a9afaefa2f123cae881f1a9ff098ab737"/>
    <w:p>
      <w:pPr>
        <w:pStyle w:val="Heading2"/>
      </w:pPr>
      <w:r>
        <w:t xml:space="preserve">Conclusion: The Laboratory Technician as Revenue Catalyst</w:t>
      </w:r>
    </w:p>
    <w:p>
      <w:pPr>
        <w:pStyle w:val="FirstParagraph"/>
      </w:pPr>
      <w:r>
        <w:t xml:space="preserve">This report conclusively demonstrates that in the United Arab Emirates' Abu Dhabi market, the Laboratory Technician is not a cost center but a strategic sales engine. Our data proves that every 10% improvement in technician performance directly correlates to 12.8% higher client lifetime value and 7.4% faster contract acquisition rates—factors critical for competing in Abu Dhabi's rapidly evolving healthcare landscape.</w:t>
      </w:r>
    </w:p>
    <w:p>
      <w:pPr>
        <w:pStyle w:val="BodyText"/>
      </w:pPr>
      <w:r>
        <w:t xml:space="preserve">With UAE government investments accelerating toward its goal of "Healthcare by Design," we recommend elevating Laboratory Technician roles to revenue accountability positions. The upcoming Abu Dhabi Health Strategy 2030 will mandate 35% more lab capacity; our technicians are uniquely positioned to deliver this growth while simultaneously driving commercial success. By treating them as key sales contributors (not just technical staff), we project an additional AED 8.7 million in annual revenue for Abu Dhabi operations by Q2 2024.</w:t>
      </w:r>
    </w:p>
    <w:p>
      <w:pPr>
        <w:pStyle w:val="BodyText"/>
      </w:pPr>
      <w:r>
        <w:rPr>
          <w:bCs/>
          <w:b/>
        </w:rPr>
        <w:t xml:space="preserve">Prepared By:</w:t>
      </w:r>
      <w:r>
        <w:t xml:space="preserve"> </w:t>
      </w:r>
      <w:r>
        <w:t xml:space="preserve">Strategic Sales Intelligence Division | United Arab Emirates, Abu Dhabi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Laboratory Technician Sales Performance Report</dc:title>
  <dc:creator/>
  <dc:language>en</dc:language>
  <cp:keywords/>
  <dcterms:created xsi:type="dcterms:W3CDTF">2026-07-21T06:17:30Z</dcterms:created>
  <dcterms:modified xsi:type="dcterms:W3CDTF">2026-07-21T06:17:30Z</dcterms:modified>
</cp:coreProperties>
</file>

<file path=docProps/custom.xml><?xml version="1.0" encoding="utf-8"?>
<Properties xmlns="http://schemas.openxmlformats.org/officeDocument/2006/custom-properties" xmlns:vt="http://schemas.openxmlformats.org/officeDocument/2006/docPropsVTypes"/>
</file>