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7" w:name="X38634f8b33cf07e8d87b166c59177e9b9adaa67"/>
    <w:p>
      <w:pPr>
        <w:pStyle w:val="Heading1"/>
      </w:pPr>
      <w:r>
        <w:t xml:space="preserve">Sales Report: Strategic Growth in Legal Services for Belgium Brussels Market</w:t>
      </w:r>
    </w:p>
    <w:p>
      <w:pPr>
        <w:pStyle w:val="FirstParagraph"/>
      </w:pPr>
      <w:r>
        <w:rPr>
          <w:bCs/>
          <w:b/>
        </w:rPr>
        <w:t xml:space="preserve">Prepared For:</w:t>
      </w:r>
      <w:r>
        <w:t xml:space="preserve"> </w:t>
      </w:r>
      <w:r>
        <w:t xml:space="preserve">Executive Leadership, International Legal Practice Division</w:t>
      </w:r>
      <w:r>
        <w:br/>
      </w:r>
      <w:r>
        <w:rPr>
          <w:bCs/>
          <w:b/>
        </w:rPr>
        <w:t xml:space="preserve">Date:</w:t>
      </w:r>
      <w:r>
        <w:t xml:space="preserve"> </w:t>
      </w:r>
      <w:r>
        <w:t xml:space="preserve">October 26, 2023</w:t>
      </w:r>
      <w:r>
        <w:br/>
      </w:r>
      <w:r>
        <w:rPr>
          <w:bCs/>
          <w:b/>
        </w:rPr>
        <w:t xml:space="preserve">Prepared By:</w:t>
      </w:r>
      <w:r>
        <w:t xml:space="preserve"> </w:t>
      </w:r>
      <w:r>
        <w:t xml:space="preserve">Sales Performance Analytics Team</w:t>
      </w:r>
    </w:p>
    <w:bookmarkStart w:id="20" w:name="X41d84ce43eb8088e3a442a09a97ba9b035272ad"/>
    <w:p>
      <w:pPr>
        <w:pStyle w:val="Heading2"/>
      </w:pPr>
      <w:r>
        <w:t xml:space="preserve">I. Executive Summary: Driving Revenue in Belgium Brussels' Legal Landscape</w:t>
      </w:r>
    </w:p>
    <w:p>
      <w:pPr>
        <w:pStyle w:val="FirstParagraph"/>
      </w:pPr>
      <w:r>
        <w:t xml:space="preserve">This comprehensive Sales Report details the performance of our legal practice across Belgium Brussels during Q3 2023, with a focus on strategic business development and client acquisition. As a leading international law firm maintaining a pivotal presence in</w:t>
      </w:r>
      <w:r>
        <w:t xml:space="preserve"> </w:t>
      </w:r>
      <w:r>
        <w:rPr>
          <w:bCs/>
          <w:b/>
        </w:rPr>
        <w:t xml:space="preserve">Belgium Brussels</w:t>
      </w:r>
      <w:r>
        <w:t xml:space="preserve">, we achieved remarkable growth in legal service sales through targeted market intelligence and culturally nuanced client engagement. The report confirms that our specialized approach to</w:t>
      </w:r>
      <w:r>
        <w:t xml:space="preserve"> </w:t>
      </w:r>
      <w:r>
        <w:rPr>
          <w:bCs/>
          <w:b/>
        </w:rPr>
        <w:t xml:space="preserve">Lawyer</w:t>
      </w:r>
      <w:r>
        <w:t xml:space="preserve">-client relationship management directly contributed to a 27% year-over-year increase in billable hours from the Brussels metropolitan area, solidifying our position as a preferred legal partner for multinational entities operating within the European Union's administrative heartland.</w:t>
      </w:r>
    </w:p>
    <w:p>
      <w:pPr>
        <w:pStyle w:val="BodyText"/>
      </w:pPr>
      <w:r>
        <w:rPr>
          <w:bCs/>
          <w:b/>
        </w:rPr>
        <w:t xml:space="preserve">Key Achievement:</w:t>
      </w:r>
      <w:r>
        <w:t xml:space="preserve"> </w:t>
      </w:r>
      <w:r>
        <w:t xml:space="preserve">Secured three major corporate mandates in Brussels' financial district, generating €1.8M in new revenue. This represents the highest quarterly sales performance for our firm in the Benelux region, directly attributable to our localized understanding of Belgian legal compliance requirements and Brussels-specific regulatory frameworks.</w:t>
      </w:r>
    </w:p>
    <w:bookmarkEnd w:id="20"/>
    <w:bookmarkStart w:id="21" w:name="X87ade86e255c95be230da60a605eb94e1e468f5"/>
    <w:p>
      <w:pPr>
        <w:pStyle w:val="Heading2"/>
      </w:pPr>
      <w:r>
        <w:t xml:space="preserve">II. Market Analysis: Belgium Brussels Legal Service Dynamics</w:t>
      </w:r>
    </w:p>
    <w:p>
      <w:pPr>
        <w:pStyle w:val="FirstParagraph"/>
      </w:pPr>
      <w:r>
        <w:t xml:space="preserve">The legal market in</w:t>
      </w:r>
      <w:r>
        <w:t xml:space="preserve"> </w:t>
      </w:r>
      <w:r>
        <w:rPr>
          <w:bCs/>
          <w:b/>
        </w:rPr>
        <w:t xml:space="preserve">Belgium Brussels</w:t>
      </w:r>
      <w:r>
        <w:t xml:space="preserve"> </w:t>
      </w:r>
      <w:r>
        <w:t xml:space="preserve">operates under a unique hybrid of civil law traditions and EU regulatory integration, creating both challenges and opportunities for our practice. As the de facto capital of the European Union, Brussels hosts over 400 EU institutions requiring continuous legal counsel across competition law, data protection (GDPR), and cross-border transactions. This concentration has elevated demand for specialized</w:t>
      </w:r>
      <w:r>
        <w:t xml:space="preserve"> </w:t>
      </w:r>
      <w:r>
        <w:rPr>
          <w:bCs/>
          <w:b/>
        </w:rPr>
        <w:t xml:space="preserve">Lawyer</w:t>
      </w:r>
      <w:r>
        <w:t xml:space="preserve"> </w:t>
      </w:r>
      <w:r>
        <w:t xml:space="preserve">services beyond traditional domestic litigation.</w:t>
      </w:r>
    </w:p>
    <w:p>
      <w:pPr>
        <w:pStyle w:val="BodyText"/>
      </w:pPr>
      <w:r>
        <w:t xml:space="preserve">Our market analysis reveals that 68% of current clients in Belgium Brussels require integrated EU/Belgian legal solutions rather than purely national expertise. For instance, the surge in fintech regulatory compliance cases (up 42% YoY) demonstrates how the city's status as Europe's financial hub creates specialized sales opportunities. The Sales Report indicates that firms failing to demonstrate Brussels-specific market knowledge lose 33% of potential high-value contracts to competitors with localized practice areas.</w:t>
      </w:r>
    </w:p>
    <w:bookmarkEnd w:id="21"/>
    <w:bookmarkStart w:id="22" w:name="X9c17f4a3e19a16c2f7fdf0670a6da82d51b048f"/>
    <w:p>
      <w:pPr>
        <w:pStyle w:val="Heading2"/>
      </w:pPr>
      <w:r>
        <w:t xml:space="preserve">III. Performance Metrics: Sales Report Highlights</w:t>
      </w:r>
    </w:p>
    <w:p>
      <w:pPr>
        <w:pStyle w:val="FirstParagraph"/>
      </w:pPr>
      <w:r>
        <w:t xml:space="preserve">This quarter's</w:t>
      </w:r>
      <w:r>
        <w:t xml:space="preserve"> </w:t>
      </w:r>
      <w:r>
        <w:rPr>
          <w:bCs/>
          <w:b/>
        </w:rPr>
        <w:t xml:space="preserve">Sales Report</w:t>
      </w:r>
      <w:r>
        <w:t xml:space="preserve"> </w:t>
      </w:r>
      <w:r>
        <w:t xml:space="preserve">tracks quantifiable success across five key metrics relevant to legal service sales in Belgium Brussels:</w:t>
      </w:r>
    </w:p>
    <w:p>
      <w:pPr>
        <w:numPr>
          <w:ilvl w:val="0"/>
          <w:numId w:val="1001"/>
        </w:numPr>
        <w:pStyle w:val="Compact"/>
      </w:pPr>
      <w:r>
        <w:rPr>
          <w:bCs/>
          <w:b/>
        </w:rPr>
        <w:t xml:space="preserve">New Client Acquisition:</w:t>
      </w:r>
      <w:r>
        <w:t xml:space="preserve"> </w:t>
      </w:r>
      <w:r>
        <w:t xml:space="preserve">18 new clients secured (120% above target), with 73% coming from Brussels-based EU institutions and multinational corporations</w:t>
      </w:r>
    </w:p>
    <w:p>
      <w:pPr>
        <w:numPr>
          <w:ilvl w:val="0"/>
          <w:numId w:val="1001"/>
        </w:numPr>
        <w:pStyle w:val="Compact"/>
      </w:pPr>
      <w:r>
        <w:rPr>
          <w:bCs/>
          <w:b/>
        </w:rPr>
        <w:t xml:space="preserve">Client Retention Rate:</w:t>
      </w:r>
      <w:r>
        <w:t xml:space="preserve"> </w:t>
      </w:r>
      <w:r>
        <w:t xml:space="preserve">94% (vs. industry average of 82%), driven by our bespoke service protocols for Brussels regulatory cycles</w:t>
      </w:r>
    </w:p>
    <w:p>
      <w:pPr>
        <w:numPr>
          <w:ilvl w:val="0"/>
          <w:numId w:val="1001"/>
        </w:numPr>
        <w:pStyle w:val="Compact"/>
      </w:pPr>
      <w:r>
        <w:rPr>
          <w:bCs/>
          <w:b/>
        </w:rPr>
        <w:t xml:space="preserve">Revenue Per Client:</w:t>
      </w:r>
      <w:r>
        <w:t xml:space="preserve"> </w:t>
      </w:r>
      <w:r>
        <w:t xml:space="preserve">€142,000 (up 19% from Q2), reflecting successful upselling of EU compliance packages</w:t>
      </w:r>
    </w:p>
    <w:p>
      <w:pPr>
        <w:numPr>
          <w:ilvl w:val="0"/>
          <w:numId w:val="1001"/>
        </w:numPr>
        <w:pStyle w:val="Compact"/>
      </w:pPr>
      <w:r>
        <w:rPr>
          <w:bCs/>
          <w:b/>
        </w:rPr>
        <w:t xml:space="preserve">Geographic Coverage:</w:t>
      </w:r>
      <w:r>
        <w:t xml:space="preserve"> </w:t>
      </w:r>
      <w:r>
        <w:t xml:space="preserve">78% of new business originated within a 5km radius of Brussels' European Quarter</w:t>
      </w:r>
    </w:p>
    <w:p>
      <w:pPr>
        <w:numPr>
          <w:ilvl w:val="0"/>
          <w:numId w:val="1001"/>
        </w:numPr>
        <w:pStyle w:val="Compact"/>
      </w:pPr>
      <w:r>
        <w:rPr>
          <w:bCs/>
          <w:b/>
        </w:rPr>
        <w:t xml:space="preserve">Sales Cycle Duration:</w:t>
      </w:r>
      <w:r>
        <w:t xml:space="preserve"> </w:t>
      </w:r>
      <w:r>
        <w:t xml:space="preserve">Reduced by 22 days through our tailored Brussels legal process documentation</w:t>
      </w:r>
    </w:p>
    <w:bookmarkEnd w:id="22"/>
    <w:bookmarkStart w:id="23" w:name="Xba2e038057ea6ae75ddef1b635482eeac08c43d"/>
    <w:p>
      <w:pPr>
        <w:pStyle w:val="Heading2"/>
      </w:pPr>
      <w:r>
        <w:t xml:space="preserve">IV. Strategic Success Factors: Why Our Lawyer Practice Excels in Belgium Brussels</w:t>
      </w:r>
    </w:p>
    <w:p>
      <w:pPr>
        <w:pStyle w:val="FirstParagraph"/>
      </w:pPr>
      <w:r>
        <w:t xml:space="preserve">The exceptional performance documented in this Sales Report stems from three distinct strategic pillars uniquely adapted for the</w:t>
      </w:r>
      <w:r>
        <w:t xml:space="preserve"> </w:t>
      </w:r>
      <w:r>
        <w:rPr>
          <w:bCs/>
          <w:b/>
        </w:rPr>
        <w:t xml:space="preserve">Belgium Brussels</w:t>
      </w:r>
      <w:r>
        <w:t xml:space="preserve"> </w:t>
      </w:r>
      <w:r>
        <w:t xml:space="preserve">market:</w:t>
      </w:r>
    </w:p>
    <w:p>
      <w:pPr>
        <w:pStyle w:val="BodyText"/>
      </w:pPr>
      <w:r>
        <w:rPr>
          <w:bCs/>
          <w:b/>
        </w:rPr>
        <w:t xml:space="preserve">1. Cultural Integration in Client Acquisition:</w:t>
      </w:r>
      <w:r>
        <w:t xml:space="preserve"> </w:t>
      </w:r>
      <w:r>
        <w:t xml:space="preserve">Our sales team undergoes mandatory Belgian legal culture training, including understanding "délais de réflexion" (waiting periods) in contract negotiations and Brussels' formal business etiquette. This cultural fluency directly translated to a 35% higher conversion rate for initial consultations compared to non-localized teams.</w:t>
      </w:r>
    </w:p>
    <w:p>
      <w:pPr>
        <w:pStyle w:val="BodyText"/>
      </w:pPr>
      <w:r>
        <w:rPr>
          <w:bCs/>
          <w:b/>
        </w:rPr>
        <w:t xml:space="preserve">2. EU Regulatory Intelligence:</w:t>
      </w:r>
      <w:r>
        <w:t xml:space="preserve"> </w:t>
      </w:r>
      <w:r>
        <w:t xml:space="preserve">Our</w:t>
      </w:r>
      <w:r>
        <w:t xml:space="preserve"> </w:t>
      </w:r>
      <w:r>
        <w:rPr>
          <w:bCs/>
          <w:b/>
        </w:rPr>
        <w:t xml:space="preserve">Lawyer</w:t>
      </w:r>
      <w:r>
        <w:t xml:space="preserve">-led sales strategy incorporates real-time monitoring of the European Commission's legislative updates. When the AI Act was proposed, our team immediately developed a targeted service package, securing 5 contracts within 14 days – a first for our firm in Belgium Brussels.</w:t>
      </w:r>
    </w:p>
    <w:p>
      <w:pPr>
        <w:pStyle w:val="BodyText"/>
      </w:pPr>
      <w:r>
        <w:rPr>
          <w:bCs/>
          <w:b/>
        </w:rPr>
        <w:t xml:space="preserve">3. Location-Specific Value Proposition:</w:t>
      </w:r>
      <w:r>
        <w:t xml:space="preserve"> </w:t>
      </w:r>
      <w:r>
        <w:t xml:space="preserve">Unlike generic legal sales approaches, we emphasize proximity to key institutions: "Our Brussels office is located just 800 meters from the European Council building, enabling same-day consultations on urgent regulatory matters." This spatial advantage contributed to 62% of new clients citing location as a primary decision factor.</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the Sales Report identifies two critical challenges in Belgium Brussels operations:</w:t>
      </w:r>
    </w:p>
    <w:p>
      <w:pPr>
        <w:numPr>
          <w:ilvl w:val="0"/>
          <w:numId w:val="1002"/>
        </w:numPr>
        <w:pStyle w:val="Compact"/>
      </w:pPr>
      <w:r>
        <w:rPr>
          <w:bCs/>
          <w:b/>
        </w:rPr>
        <w:t xml:space="preserve">Language Complexity:</w:t>
      </w:r>
      <w:r>
        <w:t xml:space="preserve"> </w:t>
      </w:r>
      <w:r>
        <w:t xml:space="preserve">47% of client interactions require French/Dutch/German fluency. We implemented a bilingual sales support system with certified translators, reducing miscommunication-related deal losses by 31%.</w:t>
      </w:r>
    </w:p>
    <w:p>
      <w:pPr>
        <w:numPr>
          <w:ilvl w:val="0"/>
          <w:numId w:val="1002"/>
        </w:numPr>
        <w:pStyle w:val="Compact"/>
      </w:pPr>
      <w:r>
        <w:rPr>
          <w:bCs/>
          <w:b/>
        </w:rPr>
        <w:t xml:space="preserve">Election Cycle Volatility:</w:t>
      </w:r>
      <w:r>
        <w:t xml:space="preserve"> </w:t>
      </w:r>
      <w:r>
        <w:t xml:space="preserve">The June parliamentary elections caused temporary budget freezes for EU clients. Our contingency plan included flexible pricing models, resulting in only a 5% revenue dip during this period versus a projected 20% loss.</w:t>
      </w:r>
    </w:p>
    <w:bookmarkEnd w:id="24"/>
    <w:bookmarkStart w:id="25" w:name="Xfc17f528e686c2082f719124f23adb6ef050455"/>
    <w:p>
      <w:pPr>
        <w:pStyle w:val="Heading2"/>
      </w:pPr>
      <w:r>
        <w:t xml:space="preserve">VI. Future Outlook and Strategic Recommendations</w:t>
      </w:r>
    </w:p>
    <w:p>
      <w:pPr>
        <w:pStyle w:val="FirstParagraph"/>
      </w:pPr>
      <w:r>
        <w:t xml:space="preserve">Based on this Sales Report, we project sustained growth in Belgium Brussels legal service sales through the following initiatives:</w:t>
      </w:r>
    </w:p>
    <w:p>
      <w:pPr>
        <w:numPr>
          <w:ilvl w:val="0"/>
          <w:numId w:val="1003"/>
        </w:numPr>
        <w:pStyle w:val="Compact"/>
      </w:pPr>
      <w:r>
        <w:rPr>
          <w:bCs/>
          <w:b/>
        </w:rPr>
        <w:t xml:space="preserve">Launch EU Regulatory Hotline:</w:t>
      </w:r>
      <w:r>
        <w:t xml:space="preserve"> </w:t>
      </w:r>
      <w:r>
        <w:t xml:space="preserve">A 24/7 multilingual advisory line for urgent Brussels-based compliance issues (Q1 2024)</w:t>
      </w:r>
    </w:p>
    <w:p>
      <w:pPr>
        <w:numPr>
          <w:ilvl w:val="0"/>
          <w:numId w:val="1003"/>
        </w:numPr>
        <w:pStyle w:val="Compact"/>
      </w:pPr>
      <w:r>
        <w:rPr>
          <w:bCs/>
          <w:b/>
        </w:rPr>
        <w:t xml:space="preserve">Brussels Legal Innovation Summit:</w:t>
      </w:r>
      <w:r>
        <w:t xml:space="preserve"> </w:t>
      </w:r>
      <w:r>
        <w:t xml:space="preserve">Hosting quarterly events with EU policymakers to position our firm as a thought leader in the market</w:t>
      </w:r>
    </w:p>
    <w:p>
      <w:pPr>
        <w:numPr>
          <w:ilvl w:val="0"/>
          <w:numId w:val="1003"/>
        </w:numPr>
        <w:pStyle w:val="Compact"/>
      </w:pPr>
      <w:r>
        <w:rPr>
          <w:bCs/>
          <w:b/>
        </w:rPr>
        <w:t xml:space="preserve">Specialized Sales Team:</w:t>
      </w:r>
      <w:r>
        <w:t xml:space="preserve"> </w:t>
      </w:r>
      <w:r>
        <w:t xml:space="preserve">Creating a dedicated "Brussels Market Unit" within our sales department focused exclusively on Belgium's legal ecosystem</w:t>
      </w:r>
    </w:p>
    <w:p>
      <w:pPr>
        <w:pStyle w:val="FirstParagraph"/>
      </w:pPr>
      <w:r>
        <w:t xml:space="preserve">The strategic alignment of our sales approach with Belgium Brussels' unique regulatory environment has proven to be the decisive differentiator. As emphasized in this Sales Report, success hinges not on generic legal expertise but on hyper-localized business development. For any</w:t>
      </w:r>
      <w:r>
        <w:t xml:space="preserve"> </w:t>
      </w:r>
      <w:r>
        <w:rPr>
          <w:bCs/>
          <w:b/>
        </w:rPr>
        <w:t xml:space="preserve">Lawyer</w:t>
      </w:r>
      <w:r>
        <w:t xml:space="preserve"> </w:t>
      </w:r>
      <w:r>
        <w:t xml:space="preserve">operating in the European capital, mastering the intricacies of Belgium Brussels' legal market is no longer optional – it's the foundational requirement for sustainable sales growth.</w:t>
      </w:r>
    </w:p>
    <w:bookmarkEnd w:id="25"/>
    <w:bookmarkStart w:id="26" w:name="X9d4a7800f56a64fad51142c8c059ce078edea6b"/>
    <w:p>
      <w:pPr>
        <w:pStyle w:val="Heading2"/>
      </w:pPr>
      <w:r>
        <w:t xml:space="preserve">VII. Conclusion: The Brussels Advantage in Legal Sales</w:t>
      </w:r>
    </w:p>
    <w:p>
      <w:pPr>
        <w:pStyle w:val="FirstParagraph"/>
      </w:pPr>
      <w:r>
        <w:t xml:space="preserve">This Sales Report unequivocally demonstrates that specialized market knowledge drives exceptional results in Belgium Brussels legal service delivery. By embedding our sales strategy within the city's institutional fabric – understanding how decisions are made at the European Council, navigating Belgian civil procedure nuances, and respecting local business protocols – we've created a scalable model for</w:t>
      </w:r>
      <w:r>
        <w:t xml:space="preserve"> </w:t>
      </w:r>
      <w:r>
        <w:rPr>
          <w:bCs/>
          <w:b/>
        </w:rPr>
        <w:t xml:space="preserve">Lawyer</w:t>
      </w:r>
      <w:r>
        <w:t xml:space="preserve">-led commercial success. The data confirms that firms with deep Brussels market integration achieve 3.2x higher sales velocity than those using standardized international approaches.</w:t>
      </w:r>
    </w:p>
    <w:p>
      <w:pPr>
        <w:pStyle w:val="BodyText"/>
      </w:pPr>
      <w:r>
        <w:t xml:space="preserve">As the European legal landscape evolves, our commitment to Belgium Brussels as the epicenter of our strategic growth ensures we remain at the forefront of legal service innovation. This Sales Report serves as both a testament to our current achievements and a roadmap for dominating this critical market segment in 2024 and beyond. The future of legal sales in Europe belongs not just to capable</w:t>
      </w:r>
      <w:r>
        <w:t xml:space="preserve"> </w:t>
      </w:r>
      <w:r>
        <w:rPr>
          <w:bCs/>
          <w:b/>
        </w:rPr>
        <w:t xml:space="preserve">Lawyer</w:t>
      </w:r>
      <w:r>
        <w:t xml:space="preserve">s, but specifically to those who master the unique ecosystem of Belgium Brussels.</w:t>
      </w:r>
    </w:p>
    <w:p>
      <w:pPr>
        <w:pStyle w:val="BodyText"/>
      </w:pPr>
      <w:r>
        <w:t xml:space="preserve">Sales Report v3.1 | Confidential: Prepared for Internal Executive Use Only | Legal Services Division, International Practice Group</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Belgium Brussels</dc:title>
  <dc:creator/>
  <dc:language>en</dc:language>
  <cp:keywords/>
  <dcterms:created xsi:type="dcterms:W3CDTF">2026-07-23T12:52:54Z</dcterms:created>
  <dcterms:modified xsi:type="dcterms:W3CDTF">2026-07-23T12:52:54Z</dcterms:modified>
</cp:coreProperties>
</file>

<file path=docProps/custom.xml><?xml version="1.0" encoding="utf-8"?>
<Properties xmlns="http://schemas.openxmlformats.org/officeDocument/2006/custom-properties" xmlns:vt="http://schemas.openxmlformats.org/officeDocument/2006/docPropsVTypes"/>
</file>