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Legal</w:t>
      </w:r>
      <w:r>
        <w:t xml:space="preserve"> </w:t>
      </w:r>
      <w:r>
        <w:t xml:space="preserve">Sales</w:t>
      </w:r>
      <w:r>
        <w:t xml:space="preserve"> </w:t>
      </w:r>
      <w:r>
        <w:t xml:space="preserve">Report</w:t>
      </w:r>
      <w:r>
        <w:t xml:space="preserve"> </w:t>
      </w:r>
      <w:r>
        <w:t xml:space="preserve">-</w:t>
      </w:r>
      <w:r>
        <w:t xml:space="preserve"> </w:t>
      </w:r>
      <w:r>
        <w:t xml:space="preserve">Toronto</w:t>
      </w:r>
      <w:r>
        <w:t xml:space="preserve"> </w:t>
      </w:r>
      <w:r>
        <w:t xml:space="preserve">Canada</w:t>
      </w:r>
    </w:p>
    <w:bookmarkStart w:id="30" w:name="X4aa97763652ba178e049e3ad701d89d6041ec57"/>
    <w:p>
      <w:pPr>
        <w:pStyle w:val="Heading1"/>
      </w:pPr>
      <w:r>
        <w:t xml:space="preserve">Comprehensive Sales Performance Report: Legal Services in Canada Toronto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Canadian Legal Advisory Board</w:t>
      </w:r>
      <w:r>
        <w:br/>
      </w:r>
      <w:r>
        <w:rPr>
          <w:bCs/>
          <w:b/>
        </w:rPr>
        <w:t xml:space="preserve">Prepared By:</w:t>
      </w:r>
      <w:r>
        <w:t xml:space="preserve"> </w:t>
      </w:r>
      <w:r>
        <w:t xml:space="preserve">Strategic Sales Division, Toronto Legal Solutions Inc.</w:t>
      </w:r>
    </w:p>
    <w:bookmarkStart w:id="20" w:name="i.-executive-summary"/>
    <w:p>
      <w:pPr>
        <w:pStyle w:val="Heading2"/>
      </w:pPr>
      <w:r>
        <w:t xml:space="preserve">I. Executive Summary</w:t>
      </w:r>
    </w:p>
    <w:p>
      <w:pPr>
        <w:pStyle w:val="FirstParagraph"/>
      </w:pPr>
      <w:r>
        <w:t xml:space="preserve">This Sales Report provides an in-depth analysis of legal service performance across Canada Toronto for Q3 2023. As one of North America's most dynamic legal markets, Toronto continues to present unique opportunities and challenges for every Lawyer operating within the Canadian jurisdiction. This document details our firm's sales trajectory, client acquisition metrics, and strategic positioning against competitors. Our key finding: Toronto-based legal practices demonstrated a 14.7% year-over-year growth in high-value contracts, confirming Canada Toronto as the undisputed epicenter for sophisticated legal sales operations.</w:t>
      </w:r>
    </w:p>
    <w:bookmarkEnd w:id="20"/>
    <w:bookmarkStart w:id="22" w:name="X3b9e30b9eaee3cbeaa0ab4a00a8909a2d5b1b02"/>
    <w:p>
      <w:pPr>
        <w:pStyle w:val="Heading2"/>
      </w:pPr>
      <w:r>
        <w:t xml:space="preserve">II. Market Context: Why Canada Toronto Dominates Legal Sales</w:t>
      </w:r>
    </w:p>
    <w:p>
      <w:pPr>
        <w:pStyle w:val="FirstParagraph"/>
      </w:pPr>
      <w:r>
        <w:t xml:space="preserve">Canada Toronto's legal market represents 38% of all commercial litigation filings in Canada, generating over $14 billion annually in legal service revenue. This concentration stems from Toronto's status as Canada's financial capital, home to 67% of Fortune 500 Canadian headquarters and the world's largest stock exchange. For any Lawyer seeking to scale their practice, understanding this ecosystem is non-negotiable. Our Sales Report confirms that firms with deep Toronto market intelligence achieve 22% higher client retention rates than those operating with generic national strategies.</w:t>
      </w:r>
    </w:p>
    <w:bookmarkStart w:id="21" w:name="key-toronto-specific-market-indicators"/>
    <w:p>
      <w:pPr>
        <w:pStyle w:val="Heading3"/>
      </w:pPr>
      <w:r>
        <w:t xml:space="preserve">Key Toronto-Specific Market Indicators:</w:t>
      </w:r>
    </w:p>
    <w:p>
      <w:pPr>
        <w:numPr>
          <w:ilvl w:val="0"/>
          <w:numId w:val="1001"/>
        </w:numPr>
        <w:pStyle w:val="Compact"/>
      </w:pPr>
      <w:r>
        <w:rPr>
          <w:bCs/>
          <w:b/>
        </w:rPr>
        <w:t xml:space="preserve">Client Acquisition Cost (CAC):</w:t>
      </w:r>
      <w:r>
        <w:t xml:space="preserve"> </w:t>
      </w:r>
      <w:r>
        <w:t xml:space="preserve">$4,850 in Canada Toronto vs. national average of $6,210</w:t>
      </w:r>
    </w:p>
    <w:p>
      <w:pPr>
        <w:numPr>
          <w:ilvl w:val="0"/>
          <w:numId w:val="1001"/>
        </w:numPr>
        <w:pStyle w:val="Compact"/>
      </w:pPr>
      <w:r>
        <w:rPr>
          <w:bCs/>
          <w:b/>
        </w:rPr>
        <w:t xml:space="preserve">Deal Velocity:</w:t>
      </w:r>
      <w:r>
        <w:t xml:space="preserve"> </w:t>
      </w:r>
      <w:r>
        <w:t xml:space="preserve">27 days from inquiry to closing (vs. 41 days nationally)</w:t>
      </w:r>
    </w:p>
    <w:p>
      <w:pPr>
        <w:numPr>
          <w:ilvl w:val="0"/>
          <w:numId w:val="1001"/>
        </w:numPr>
        <w:pStyle w:val="Compact"/>
      </w:pPr>
      <w:r>
        <w:rPr>
          <w:bCs/>
          <w:b/>
        </w:rPr>
        <w:t xml:space="preserve">Largest Growth Sectors:</w:t>
      </w:r>
      <w:r>
        <w:t xml:space="preserve"> </w:t>
      </w:r>
      <w:r>
        <w:t xml:space="preserve">Tech IP litigation (33% YoY), Real Estate Disputes (28% YoY), and Corporate M&amp;A (24% YoY)</w:t>
      </w:r>
    </w:p>
    <w:bookmarkEnd w:id="21"/>
    <w:bookmarkEnd w:id="22"/>
    <w:bookmarkStart w:id="25" w:name="Xa33cfcbcbd44c2456ea0379104d0a4483cf41dd"/>
    <w:p>
      <w:pPr>
        <w:pStyle w:val="Heading2"/>
      </w:pPr>
      <w:r>
        <w:t xml:space="preserve">III. Sales Performance Analysis: Toronto Legal Market Focus</w:t>
      </w:r>
    </w:p>
    <w:p>
      <w:pPr>
        <w:pStyle w:val="FirstParagraph"/>
      </w:pPr>
      <w:r>
        <w:t xml:space="preserve">This section details our firm's performance against critical sales KPIs within Canada Toronto, where we maintain a 17% market share in commercial litigation.</w:t>
      </w:r>
    </w:p>
    <w:bookmarkStart w:id="23" w:name="a.-client-acquisition-metrics"/>
    <w:p>
      <w:pPr>
        <w:pStyle w:val="Heading3"/>
      </w:pPr>
      <w:r>
        <w:t xml:space="preserve">A. Client Acquisition Metrics</w:t>
      </w:r>
    </w:p>
    <w:p>
      <w:pPr>
        <w:pStyle w:val="FirstParagraph"/>
      </w:pPr>
      <w:r>
        <w:t xml:space="preserve">Our Q3 Sales Report shows Toronto generated 287 new client engagements – a 19% increase from Q2. Notably, all major accounts (including two Fortune 500 financial institutions) were secured through personalized sales approaches tailored to Toronto's unique legal culture. The average deal size for new clients in Canada Toronto reached $148,500, exceeding our national target by 12%. This success directly correlates with our specialized approach: every Lawyer on the Toronto team undergoes mandatory cultural immersion training covering Ontario-specific procedural nuances before client engagement.</w:t>
      </w:r>
    </w:p>
    <w:bookmarkEnd w:id="23"/>
    <w:bookmarkStart w:id="24" w:name="b.-client-retention-expansion"/>
    <w:p>
      <w:pPr>
        <w:pStyle w:val="Heading3"/>
      </w:pPr>
      <w:r>
        <w:t xml:space="preserve">B. Client Retention &amp; Expansion</w:t>
      </w:r>
    </w:p>
    <w:p>
      <w:pPr>
        <w:pStyle w:val="FirstParagraph"/>
      </w:pPr>
      <w:r>
        <w:t xml:space="preserve">Our Toronto client retention rate stands at 89% – significantly above Canada's 76% average. This is largely attributable to our "Client Journey Mapping" initiative, where each Lawyer documents specific Toronto regulatory touchpoints (e.g., Ontario Superior Court rules, Osgoode Hall protocols) to anticipate client needs. In Q3 alone, we secured $2.1M in expansion revenue from existing Toronto clients through cross-selling of adjacent services like employment law and cybersecurity compliance – demonstrating how strategic sales enablement directly benefits the Lawyer-client relationship.</w:t>
      </w:r>
    </w:p>
    <w:bookmarkEnd w:id="24"/>
    <w:bookmarkEnd w:id="25"/>
    <w:bookmarkStart w:id="26" w:name="X64ddbfd39e4fbbdcb2ae594e0c1e868911248f1"/>
    <w:p>
      <w:pPr>
        <w:pStyle w:val="Heading2"/>
      </w:pPr>
      <w:r>
        <w:t xml:space="preserve">IV. Competitive Landscape: Standing Out in Canada Toronto</w:t>
      </w:r>
    </w:p>
    <w:p>
      <w:pPr>
        <w:pStyle w:val="FirstParagraph"/>
      </w:pPr>
      <w:r>
        <w:t xml:space="preserve">The Toronto legal market features intense competition, with 37 major firms vying for premium engagements. Our Sales Report identifies three critical differentiators that position our firm advantageously:</w:t>
      </w:r>
    </w:p>
    <w:p>
      <w:pPr>
        <w:numPr>
          <w:ilvl w:val="0"/>
          <w:numId w:val="1002"/>
        </w:numPr>
        <w:pStyle w:val="Compact"/>
      </w:pPr>
      <w:r>
        <w:rPr>
          <w:bCs/>
          <w:b/>
        </w:rPr>
        <w:t xml:space="preserve">Hyper-Local Expertise:</w:t>
      </w:r>
      <w:r>
        <w:t xml:space="preserve"> </w:t>
      </w:r>
      <w:r>
        <w:t xml:space="preserve">Unlike national firms offering standardized packages, our Toronto Lawyer team possesses deep knowledge of City of Toronto bylaws and municipal court procedures – a factor cited in 82% of new client satisfaction surveys.</w:t>
      </w:r>
    </w:p>
    <w:p>
      <w:pPr>
        <w:numPr>
          <w:ilvl w:val="0"/>
          <w:numId w:val="1002"/>
        </w:numPr>
        <w:pStyle w:val="Compact"/>
      </w:pPr>
      <w:r>
        <w:rPr>
          <w:bCs/>
          <w:b/>
        </w:rPr>
        <w:t xml:space="preserve">Sales-Tech Integration:</w:t>
      </w:r>
      <w:r>
        <w:t xml:space="preserve"> </w:t>
      </w:r>
      <w:r>
        <w:t xml:space="preserve">We deployed AI-driven lead scoring for Ontario-specific practice areas (e.g., real estate title disputes), reducing sales cycle time by 31% in Canada Toronto operations.</w:t>
      </w:r>
    </w:p>
    <w:p>
      <w:pPr>
        <w:numPr>
          <w:ilvl w:val="0"/>
          <w:numId w:val="1002"/>
        </w:numPr>
        <w:pStyle w:val="Compact"/>
      </w:pPr>
      <w:r>
        <w:rPr>
          <w:bCs/>
          <w:b/>
        </w:rPr>
        <w:t xml:space="preserve">Community Engagement:</w:t>
      </w:r>
      <w:r>
        <w:t xml:space="preserve"> </w:t>
      </w:r>
      <w:r>
        <w:t xml:space="preserve">Our Lawyers' active participation in Toronto Legal Aid Society and Osgoode Hall events has generated 47% of new leads organically – a model replicable across Canadian jurisdictions but uniquely potent in Toronto's tight-knit legal community.</w:t>
      </w:r>
    </w:p>
    <w:bookmarkEnd w:id="26"/>
    <w:bookmarkStart w:id="27" w:name="v.-challenges-strategic-response"/>
    <w:p>
      <w:pPr>
        <w:pStyle w:val="Heading2"/>
      </w:pPr>
      <w:r>
        <w:t xml:space="preserve">V. Challenges &amp; Strategic Response</w:t>
      </w:r>
    </w:p>
    <w:p>
      <w:pPr>
        <w:pStyle w:val="FirstParagraph"/>
      </w:pPr>
      <w:r>
        <w:t xml:space="preserve">Despite strong growth, our Sales Report identifies two Toronto-specific challenges requiring immediate action:</w:t>
      </w:r>
    </w:p>
    <w:p>
      <w:pPr>
        <w:numPr>
          <w:ilvl w:val="0"/>
          <w:numId w:val="1003"/>
        </w:numPr>
        <w:pStyle w:val="Compact"/>
      </w:pPr>
      <w:r>
        <w:rPr>
          <w:bCs/>
          <w:b/>
        </w:rPr>
        <w:t xml:space="preserve">Rising Talent Competition:</w:t>
      </w:r>
      <w:r>
        <w:t xml:space="preserve"> </w:t>
      </w:r>
      <w:r>
        <w:t xml:space="preserve">Toronto's legal market is experiencing a 17% increase in Lawyer headcount demands. We're addressing this through our "Toronto Talent Pipeline" program – partnering with Osgoode Hall for accelerated associate training, targeting 25% new hire growth by Q1 2024.</w:t>
      </w:r>
    </w:p>
    <w:p>
      <w:pPr>
        <w:numPr>
          <w:ilvl w:val="0"/>
          <w:numId w:val="1003"/>
        </w:numPr>
        <w:pStyle w:val="Compact"/>
      </w:pPr>
      <w:r>
        <w:rPr>
          <w:bCs/>
          <w:b/>
        </w:rPr>
        <w:t xml:space="preserve">Regulatory Complexity:</w:t>
      </w:r>
      <w:r>
        <w:t xml:space="preserve"> </w:t>
      </w:r>
      <w:r>
        <w:t xml:space="preserve">Ontario's evolving data privacy laws (PIPEDA amendments) require specialized sales messaging. Our compliance team has co-developed "Toronto Regulatory Briefs" for every Lawyer, reducing client onboarding friction by 36%.</w:t>
      </w:r>
    </w:p>
    <w:bookmarkEnd w:id="27"/>
    <w:bookmarkStart w:id="28" w:name="Xb960293dc8d6fafbcba5b1977c30de707111756"/>
    <w:p>
      <w:pPr>
        <w:pStyle w:val="Heading2"/>
      </w:pPr>
      <w:r>
        <w:t xml:space="preserve">VI. Future Outlook: Scaling Sales in Canada Toronto</w:t>
      </w:r>
    </w:p>
    <w:p>
      <w:pPr>
        <w:pStyle w:val="FirstParagraph"/>
      </w:pPr>
      <w:r>
        <w:t xml:space="preserve">Our strategic roadmap for Canada Toronto focuses on three pillars to sustain growth:</w:t>
      </w:r>
    </w:p>
    <w:p>
      <w:pPr>
        <w:numPr>
          <w:ilvl w:val="0"/>
          <w:numId w:val="1004"/>
        </w:numPr>
        <w:pStyle w:val="Compact"/>
      </w:pPr>
      <w:r>
        <w:rPr>
          <w:bCs/>
          <w:b/>
        </w:rPr>
        <w:t xml:space="preserve">Sales-Driven Legal Innovation:</w:t>
      </w:r>
      <w:r>
        <w:t xml:space="preserve"> </w:t>
      </w:r>
      <w:r>
        <w:t xml:space="preserve">Launching "Toronto Legal Lab" in Q1 2024 – a dedicated sales team embedding with Lawyers to co-design service packages for emerging markets like AI regulation and ESG compliance.</w:t>
      </w:r>
    </w:p>
    <w:p>
      <w:pPr>
        <w:numPr>
          <w:ilvl w:val="0"/>
          <w:numId w:val="1004"/>
        </w:numPr>
        <w:pStyle w:val="Compact"/>
      </w:pPr>
      <w:r>
        <w:rPr>
          <w:bCs/>
          <w:b/>
        </w:rPr>
        <w:t xml:space="preserve">Data-First Market Expansion:</w:t>
      </w:r>
      <w:r>
        <w:t xml:space="preserve"> </w:t>
      </w:r>
      <w:r>
        <w:t xml:space="preserve">Leveraging Toronto-specific case analytics to identify underserved sectors (e.g., cannabis industry disputes), targeting $3.5M in new revenue streams by year-end.</w:t>
      </w:r>
    </w:p>
    <w:p>
      <w:pPr>
        <w:numPr>
          <w:ilvl w:val="0"/>
          <w:numId w:val="1004"/>
        </w:numPr>
        <w:pStyle w:val="Compact"/>
      </w:pPr>
      <w:r>
        <w:rPr>
          <w:bCs/>
          <w:b/>
        </w:rPr>
        <w:t xml:space="preserve">Toronto Community Leadership:</w:t>
      </w:r>
      <w:r>
        <w:t xml:space="preserve"> </w:t>
      </w:r>
      <w:r>
        <w:t xml:space="preserve">Becoming the first law firm to sponsor the "Toronto Legal Innovation Summit" – a platform for Lawyers to showcase sales strategies directly within Canada Toronto's professional ecosystem.</w:t>
      </w:r>
    </w:p>
    <w:bookmarkEnd w:id="28"/>
    <w:bookmarkStart w:id="29" w:name="vii.-conclusion"/>
    <w:p>
      <w:pPr>
        <w:pStyle w:val="Heading2"/>
      </w:pPr>
      <w:r>
        <w:t xml:space="preserve">VII. Conclusion</w:t>
      </w:r>
    </w:p>
    <w:p>
      <w:pPr>
        <w:pStyle w:val="FirstParagraph"/>
      </w:pPr>
      <w:r>
        <w:t xml:space="preserve">This Sales Report confirms that Canada Toronto remains the most strategically vital market for legal service sales in all of Canada. Our success stems from recognizing that every Lawyer must operate with hyper-local market intelligence – not just as a compliance requirement, but as the core engine of sales growth. The data is unequivocal: firms prioritizing Toronto-specific strategy achieve 2.3x higher profitability than those using generic approaches.</w:t>
      </w:r>
    </w:p>
    <w:p>
      <w:pPr>
        <w:pStyle w:val="BodyText"/>
      </w:pPr>
      <w:r>
        <w:t xml:space="preserve">As we move into Q4, we will implement our "Toronto Sales Accelerator" initiative – requiring all Lawyers to complete monthly market trend briefings on Ontario-specific legal developments. This investment in localized sales enablement isn't just good practice; it's the only path to sustained dominance in Canada Toronto's fiercely competitive landscape. The future of legal sales is not national, but neighborhood-focused – and Toronto proves this daily.</w:t>
      </w:r>
    </w:p>
    <w:p>
      <w:pPr>
        <w:pStyle w:val="BodyText"/>
      </w:pPr>
      <w:r>
        <w:rPr>
          <w:bCs/>
          <w:b/>
        </w:rPr>
        <w:t xml:space="preserve">Prepared By:</w:t>
      </w:r>
      <w:r>
        <w:t xml:space="preserve"> </w:t>
      </w:r>
      <w:r>
        <w:t xml:space="preserve">Alexander Chen, Director of Strategic Sales</w:t>
      </w:r>
      <w:r>
        <w:br/>
      </w:r>
      <w:r>
        <w:rPr>
          <w:bCs/>
          <w:b/>
        </w:rPr>
        <w:t xml:space="preserve">Approved By:</w:t>
      </w:r>
      <w:r>
        <w:t xml:space="preserve"> </w:t>
      </w:r>
      <w:r>
        <w:t xml:space="preserve">Maria Torres, Chief Operating Officer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Legal Sales Report - Toronto Canada</dc:title>
  <dc:creator/>
  <dc:language>en</dc:language>
  <cp:keywords/>
  <dcterms:created xsi:type="dcterms:W3CDTF">2026-07-23T09:12:40Z</dcterms:created>
  <dcterms:modified xsi:type="dcterms:W3CDTF">2026-07-23T09:12:40Z</dcterms:modified>
</cp:coreProperties>
</file>

<file path=docProps/custom.xml><?xml version="1.0" encoding="utf-8"?>
<Properties xmlns="http://schemas.openxmlformats.org/officeDocument/2006/custom-properties" xmlns:vt="http://schemas.openxmlformats.org/officeDocument/2006/docPropsVTypes"/>
</file>