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b383b90c8b2ebbd51eabc9ad627017b0ef12e48"/>
    <w:p>
      <w:pPr>
        <w:pStyle w:val="Heading1"/>
      </w:pPr>
      <w:r>
        <w:t xml:space="preserve">Comprehensive Sales Report: Premium Legal Services Excellence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Legal Advisory Board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outstanding performance of our legal practice in China Beijing, where our specialized Lawyer services have achieved unprecedented market penetration and client satisfaction. Operating within China's most dynamic legal jurisdiction, this report demonstrates how strategic positioning as a premier Lawyer firm has driven 37% YoY revenue growth. The success trajectory in Beijing underscores why we remain the preferred choice for complex legal matters requiring China-specific expertise. This document serves as a testament to our Lawyer's market leadership and the robustness of our sales framework tailored exclusively for China Beijing's unique legal landscape.</w:t>
      </w:r>
    </w:p>
    <w:bookmarkEnd w:id="20"/>
    <w:bookmarkStart w:id="21" w:name="X5b5478fa3a83b0a2ae36195c3caf629e1108704"/>
    <w:p>
      <w:pPr>
        <w:pStyle w:val="Heading2"/>
      </w:pPr>
      <w:r>
        <w:t xml:space="preserve">II. Market Context: China Beijing Legal Landscape</w:t>
      </w:r>
    </w:p>
    <w:p>
      <w:pPr>
        <w:pStyle w:val="FirstParagraph"/>
      </w:pPr>
      <w:r>
        <w:t xml:space="preserve">Beijing functions as the epicenter of China's legal ecosystem, housing 68% of the nation's top-tier law firms and serving as headquarters for multinational corporations navigating China's regulatory environment. As a critical hub for foreign investment (accounting for 41% of FDI in China), Beijing presents both immense opportunity and sophisticated challenges requiring nuanced understanding. Our Sales Report confirms that client acquisition in this market hinges on three pillars: deep familiarity with Beijing's local judicial protocols, cultural fluency, and strategic alignment with China's 2023 legal reform initiatives. This context makes our Lawyer practice uniquely positioned to deliver solutions where generic international firms often falter.</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Growth</w:t>
            </w:r>
          </w:p>
        </w:tc>
      </w:tr>
      <w:tr>
        <w:tc>
          <w:tcPr/>
          <w:p>
            <w:pPr>
              <w:pStyle w:val="Compact"/>
              <w:jc w:val="left"/>
            </w:pPr>
            <w:r>
              <w:t xml:space="preserve">Total Client Acquisition</w:t>
            </w:r>
          </w:p>
        </w:tc>
        <w:tc>
          <w:tcPr/>
          <w:p>
            <w:pPr>
              <w:pStyle w:val="Compact"/>
              <w:jc w:val="left"/>
            </w:pPr>
            <w:r>
              <w:t xml:space="preserve">47 new clients</w:t>
            </w:r>
          </w:p>
        </w:tc>
        <w:tc>
          <w:tcPr/>
          <w:p>
            <w:pPr>
              <w:pStyle w:val="Compact"/>
              <w:jc w:val="left"/>
            </w:pPr>
            <w:r>
              <w:t xml:space="preserve">31 clients</w:t>
            </w:r>
          </w:p>
        </w:tc>
        <w:tc>
          <w:tcPr/>
          <w:p>
            <w:pPr>
              <w:pStyle w:val="Compact"/>
              <w:jc w:val="left"/>
            </w:pPr>
            <w:r>
              <w:t xml:space="preserve">+51.6%</w:t>
            </w:r>
          </w:p>
        </w:tc>
      </w:tr>
      <w:tr>
        <w:tc>
          <w:tcPr/>
          <w:p>
            <w:pPr>
              <w:pStyle w:val="Compact"/>
              <w:jc w:val="left"/>
            </w:pPr>
            <w:r>
              <w:t xml:space="preserve">Average Retainer Value (Beijing)</w:t>
            </w:r>
          </w:p>
        </w:tc>
        <w:tc>
          <w:tcPr/>
          <w:p>
            <w:pPr>
              <w:pStyle w:val="Compact"/>
              <w:jc w:val="left"/>
            </w:pPr>
            <w:r>
              <w:t xml:space="preserve">CNY 865,000</w:t>
            </w:r>
          </w:p>
        </w:tc>
        <w:tc>
          <w:tcPr/>
          <w:p>
            <w:pPr>
              <w:pStyle w:val="Compact"/>
              <w:jc w:val="left"/>
            </w:pPr>
            <w:r>
              <w:t xml:space="preserve">CNY 692,000</w:t>
            </w:r>
          </w:p>
        </w:tc>
        <w:tc>
          <w:tcPr/>
          <w:p>
            <w:pPr>
              <w:pStyle w:val="Compact"/>
              <w:jc w:val="left"/>
            </w:pPr>
            <w:r>
              <w:t xml:space="preserve">+25.0%</w:t>
            </w:r>
          </w:p>
        </w:tc>
      </w:tr>
      <w:tr>
        <w:tc>
          <w:tcPr/>
          <w:p>
            <w:pPr>
              <w:pStyle w:val="Compact"/>
              <w:jc w:val="left"/>
            </w:pPr>
            <w:r>
              <w:t xml:space="preserve">Client Retention Rate</w:t>
            </w:r>
          </w:p>
        </w:tc>
        <w:tc>
          <w:tcPr/>
          <w:p>
            <w:pPr>
              <w:pStyle w:val="Compact"/>
              <w:jc w:val="left"/>
            </w:pPr>
            <w:r>
              <w:t xml:space="preserve">94.3%</w:t>
            </w:r>
          </w:p>
        </w:tc>
        <w:tc>
          <w:tcPr/>
          <w:p>
            <w:pPr>
              <w:pStyle w:val="Compact"/>
              <w:jc w:val="left"/>
            </w:pPr>
            <w:r>
              <w:t xml:space="preserve">88.7%</w:t>
            </w:r>
          </w:p>
        </w:tc>
        <w:tc>
          <w:tcPr/>
          <w:p>
            <w:pPr>
              <w:pStyle w:val="Compact"/>
              <w:jc w:val="left"/>
            </w:pPr>
            <w:r>
              <w:t xml:space="preserve">+5.6 pts</w:t>
            </w:r>
          </w:p>
        </w:tc>
      </w:tr>
    </w:tbl>
    <w:p>
      <w:pPr>
        <w:pStyle w:val="BodyText"/>
      </w:pPr>
      <w:r>
        <w:t xml:space="preserve">The 51.6% surge in new client acquisition directly correlates with our targeted approach to China Beijing's most pressing legal needs: cross-border M&amp;A, IP protection for tech firms, and compliance with Beijing's Special Economic Zone regulations. Notably, 78% of new clients were secured through strategic partnerships with Beijing-based business chambers—validating our Sales Report strategy of embedding Lawyer expertise within local economic networks.</w:t>
      </w:r>
    </w:p>
    <w:bookmarkEnd w:id="22"/>
    <w:bookmarkStart w:id="23" w:name="Xe334f38465edd3004478f88e0afa7106b219a3c"/>
    <w:p>
      <w:pPr>
        <w:pStyle w:val="Heading2"/>
      </w:pPr>
      <w:r>
        <w:t xml:space="preserve">IV. Client Success Stories: China Beijing Impact</w:t>
      </w:r>
    </w:p>
    <w:p>
      <w:pPr>
        <w:pStyle w:val="FirstParagraph"/>
      </w:pPr>
      <w:r>
        <w:rPr>
          <w:bCs/>
          <w:b/>
        </w:rPr>
        <w:t xml:space="preserve">Case Study 1: Global Tech Multinational (Beijing HQ)</w:t>
      </w:r>
    </w:p>
    <w:p>
      <w:pPr>
        <w:pStyle w:val="BodyText"/>
      </w:pPr>
      <w:r>
        <w:t xml:space="preserve">A Fortune 500 technology firm faced urgent IP litigation involving Chinese competitors. Our Beijing-based Lawyer team secured a landmark settlement within 78 days—exceeding industry averages by 63%. The case resulted in CNY 218 million in damages, cementing our Lawyer's reputation for high-stakes advocacy. As the client noted: "Their China Beijing market intelligence was decisive."</w:t>
      </w:r>
    </w:p>
    <w:p>
      <w:pPr>
        <w:pStyle w:val="BodyText"/>
      </w:pPr>
      <w:r>
        <w:rPr>
          <w:bCs/>
          <w:b/>
        </w:rPr>
        <w:t xml:space="preserve">Case Study 2: EU Manufacturing Consortium</w:t>
      </w:r>
    </w:p>
    <w:p>
      <w:pPr>
        <w:pStyle w:val="BodyText"/>
      </w:pPr>
      <w:r>
        <w:t xml:space="preserve">Navigating new carbon tax regulations under Beijing's 2023 Green Legal Framework, our Lawyer team designed compliance protocols that saved clients CNY 14.7 million annually. This project originated from a lead generated through our China Beijing government relations network, highlighting how sales strategy directly enables lawyer-client success.</w:t>
      </w:r>
    </w:p>
    <w:bookmarkEnd w:id="23"/>
    <w:bookmarkStart w:id="24" w:name="X825602299d8926bd77aee9f48ff9d0030a07c94"/>
    <w:p>
      <w:pPr>
        <w:pStyle w:val="Heading2"/>
      </w:pPr>
      <w:r>
        <w:t xml:space="preserve">V. Strategic Insights from China Beijing Operations</w:t>
      </w:r>
    </w:p>
    <w:p>
      <w:pPr>
        <w:pStyle w:val="FirstParagraph"/>
      </w:pPr>
      <w:r>
        <w:t xml:space="preserve">This Sales Report reveals critical insights about the China Beijing market:</w:t>
      </w:r>
    </w:p>
    <w:p>
      <w:pPr>
        <w:numPr>
          <w:ilvl w:val="0"/>
          <w:numId w:val="1001"/>
        </w:numPr>
        <w:pStyle w:val="Compact"/>
      </w:pPr>
      <w:r>
        <w:rPr>
          <w:bCs/>
          <w:b/>
        </w:rPr>
        <w:t xml:space="preserve">Cultural Nuance Drives Sales:</w:t>
      </w:r>
      <w:r>
        <w:t xml:space="preserve"> </w:t>
      </w:r>
      <w:r>
        <w:t xml:space="preserve">89% of closed deals involved Lawyer-led negotiations incorporating Chinese business etiquette (e.g., formal "guanxi" relationship-building).</w:t>
      </w:r>
    </w:p>
    <w:p>
      <w:pPr>
        <w:numPr>
          <w:ilvl w:val="0"/>
          <w:numId w:val="1001"/>
        </w:numPr>
        <w:pStyle w:val="Compact"/>
      </w:pPr>
      <w:r>
        <w:rPr>
          <w:bCs/>
          <w:b/>
        </w:rPr>
        <w:t xml:space="preserve">Regulatory Agility is Key:</w:t>
      </w:r>
      <w:r>
        <w:t xml:space="preserve"> </w:t>
      </w:r>
      <w:r>
        <w:t xml:space="preserve">Our Lawyer team's rapid adaptation to Beijing's updated foreign investment laws in August 2023 generated 19 new compliance contracts within 45 days.</w:t>
      </w:r>
    </w:p>
    <w:p>
      <w:pPr>
        <w:numPr>
          <w:ilvl w:val="0"/>
          <w:numId w:val="1001"/>
        </w:numPr>
        <w:pStyle w:val="Compact"/>
      </w:pPr>
      <w:r>
        <w:rPr>
          <w:bCs/>
          <w:b/>
        </w:rPr>
        <w:t xml:space="preserve">Digital Integration Boosts Conversion:</w:t>
      </w:r>
      <w:r>
        <w:t xml:space="preserve"> </w:t>
      </w:r>
      <w:r>
        <w:t xml:space="preserve">Implementation of AI-driven case management for China Beijing clients reduced onboarding time by 37%, directly improving sales pipeline velocity.</w:t>
      </w:r>
    </w:p>
    <w:bookmarkEnd w:id="24"/>
    <w:bookmarkStart w:id="25" w:name="vi.-challenges-and-adaptive-solutions"/>
    <w:p>
      <w:pPr>
        <w:pStyle w:val="Heading2"/>
      </w:pPr>
      <w:r>
        <w:t xml:space="preserve">VI. Challenges and Adaptive Solutions</w:t>
      </w:r>
    </w:p>
    <w:p>
      <w:pPr>
        <w:pStyle w:val="FirstParagraph"/>
      </w:pPr>
      <w:r>
        <w:t xml:space="preserve">We encountered significant hurdles in the China Beijing market, particularly regarding jurisdictional complexities in the Zhongguancun Science Park zone. Our Lawyer team responded by developing a specialized "Beijing Innovation Zone Compliance Protocol," which became our most sought-after service package. This strategic pivot—evident in our Sales Report data—increased upsell revenue by 42% and positioned us as the market's go-to expert for tech-sector legal needs in China Beijing.</w:t>
      </w:r>
    </w:p>
    <w:bookmarkEnd w:id="25"/>
    <w:bookmarkStart w:id="26" w:name="X780fa08c06390517a5b6379309f0ee178e23023"/>
    <w:p>
      <w:pPr>
        <w:pStyle w:val="Heading2"/>
      </w:pPr>
      <w:r>
        <w:t xml:space="preserve">VII. Future Growth Strategy: Scaling Lawyer Excellence</w:t>
      </w:r>
    </w:p>
    <w:p>
      <w:pPr>
        <w:pStyle w:val="FirstParagraph"/>
      </w:pPr>
      <w:r>
        <w:t xml:space="preserve">Our roadmap for China Beijing includes three priority initiatives:</w:t>
      </w:r>
    </w:p>
    <w:p>
      <w:pPr>
        <w:numPr>
          <w:ilvl w:val="0"/>
          <w:numId w:val="1002"/>
        </w:numPr>
        <w:pStyle w:val="Compact"/>
      </w:pPr>
      <w:r>
        <w:rPr>
          <w:bCs/>
          <w:b/>
        </w:rPr>
        <w:t xml:space="preserve">Beijing Legal Innovation Hub:</w:t>
      </w:r>
      <w:r>
        <w:t xml:space="preserve"> </w:t>
      </w:r>
      <w:r>
        <w:t xml:space="preserve">Launching a physical practice center in the Financial Street district by Q1 2024 to strengthen on-ground Lawyer presence.</w:t>
      </w:r>
    </w:p>
    <w:p>
      <w:pPr>
        <w:numPr>
          <w:ilvl w:val="0"/>
          <w:numId w:val="1002"/>
        </w:numPr>
        <w:pStyle w:val="Compact"/>
      </w:pPr>
      <w:r>
        <w:rPr>
          <w:bCs/>
          <w:b/>
        </w:rPr>
        <w:t xml:space="preserve">Sales-Driven Training Program:</w:t>
      </w:r>
      <w:r>
        <w:t xml:space="preserve"> </w:t>
      </w:r>
      <w:r>
        <w:t xml:space="preserve">Implementing Beijing-specific sales simulations where our lawyer team practices navigating local bureaucratic processes with clients.</w:t>
      </w:r>
    </w:p>
    <w:p>
      <w:pPr>
        <w:numPr>
          <w:ilvl w:val="0"/>
          <w:numId w:val="1002"/>
        </w:numPr>
        <w:pStyle w:val="Compact"/>
      </w:pPr>
      <w:r>
        <w:rPr>
          <w:bCs/>
          <w:b/>
        </w:rPr>
        <w:t xml:space="preserve">AI-Powered Market Intelligence:</w:t>
      </w:r>
      <w:r>
        <w:t xml:space="preserve"> </w:t>
      </w:r>
      <w:r>
        <w:t xml:space="preserve">Developing proprietary tools tracking Beijing court rulings and regulatory shifts to proactively target high-potential client segments.</w:t>
      </w:r>
    </w:p>
    <w:bookmarkEnd w:id="26"/>
    <w:bookmarkStart w:id="27" w:name="X38790b6e40998bc2fe25aa0d6eead5fc28ef6e1"/>
    <w:p>
      <w:pPr>
        <w:pStyle w:val="Heading2"/>
      </w:pPr>
      <w:r>
        <w:t xml:space="preserve">VIII. Conclusion: The China Beijing Lawyer Imperative</w:t>
      </w:r>
    </w:p>
    <w:p>
      <w:pPr>
        <w:pStyle w:val="FirstParagraph"/>
      </w:pPr>
      <w:r>
        <w:t xml:space="preserve">This Sales Report unequivocally demonstrates that success in China's legal market requires a localized Lawyer strategy—not merely international expertise. Our record-breaking performance in Beijing proves that when sales teams deeply understand the nuances of China Beijing's legal environment, client outcomes and firm growth become intrinsically linked. As we expand our Lawyer practice across Asia, the Beijing model—where every sales interaction is informed by hyper-local legal knowledge—will remain our benchmark.</w:t>
      </w:r>
    </w:p>
    <w:p>
      <w:pPr>
        <w:pStyle w:val="BodyText"/>
      </w:pPr>
      <w:r>
        <w:t xml:space="preserve">For multinational enterprises seeking sustainable success in China, engaging a Lawyer with proven China Beijing expertise isn't optional; it's the strategic cornerstone of risk management and growth. This Sales Report confirms that our firm has become the catalyst for precisely this transformation across every major industry in Beijing. The data speaks clearly: In China Beijing, where legal precision determines business destiny, our Lawyer practice is the definitive competitive advantage.</w:t>
      </w:r>
    </w:p>
    <w:p>
      <w:pPr>
        <w:pStyle w:val="BodyText"/>
      </w:pPr>
      <w:r>
        <w:rPr>
          <w:bCs/>
          <w:b/>
        </w:rPr>
        <w:t xml:space="preserve">Prepared By:</w:t>
      </w:r>
      <w:r>
        <w:t xml:space="preserve"> </w:t>
      </w:r>
      <w:r>
        <w:t xml:space="preserve">International Client Development Division</w:t>
      </w:r>
      <w:r>
        <w:br/>
      </w:r>
      <w:r>
        <w:rPr>
          <w:bCs/>
          <w:b/>
        </w:rPr>
        <w:t xml:space="preserve">Confidentiality:</w:t>
      </w:r>
      <w:r>
        <w:t xml:space="preserve"> </w:t>
      </w:r>
      <w:r>
        <w:t xml:space="preserve">This Sales Report contains proprietary market intelligence exclusively for China Beijing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China Beijing</dc:title>
  <dc:creator/>
  <dc:language>en</dc:language>
  <cp:keywords/>
  <dcterms:created xsi:type="dcterms:W3CDTF">2026-07-23T10:45:06Z</dcterms:created>
  <dcterms:modified xsi:type="dcterms:W3CDTF">2026-07-23T10:45:06Z</dcterms:modified>
</cp:coreProperties>
</file>

<file path=docProps/custom.xml><?xml version="1.0" encoding="utf-8"?>
<Properties xmlns="http://schemas.openxmlformats.org/officeDocument/2006/custom-properties" xmlns:vt="http://schemas.openxmlformats.org/officeDocument/2006/docPropsVTypes"/>
</file>