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Legal</w:t>
      </w:r>
      <w:r>
        <w:t xml:space="preserve"> </w:t>
      </w:r>
      <w:r>
        <w:t xml:space="preserve">Services</w:t>
      </w:r>
      <w:r>
        <w:t xml:space="preserve"> </w:t>
      </w:r>
      <w:r>
        <w:t xml:space="preserve">Sales</w:t>
      </w:r>
      <w:r>
        <w:t xml:space="preserve"> </w:t>
      </w:r>
      <w:r>
        <w:t xml:space="preserve">Report</w:t>
      </w:r>
    </w:p>
    <w:bookmarkStart w:id="29" w:name="Xdd6e32864b9ebc3cdd2b86ca38a02ce02170f41"/>
    <w:p>
      <w:pPr>
        <w:pStyle w:val="Heading1"/>
      </w:pPr>
      <w:r>
        <w:t xml:space="preserve">Q3 2024 Sales Performance Report: Guangzhou-Based Legal Practice for International Clients</w:t>
      </w:r>
    </w:p>
    <w:p>
      <w:pPr>
        <w:pStyle w:val="FirstParagraph"/>
      </w:pPr>
      <w:r>
        <w:rPr>
          <w:bCs/>
          <w:b/>
        </w:rPr>
        <w:t xml:space="preserve">Prepared For:</w:t>
      </w:r>
      <w:r>
        <w:t xml:space="preserve"> </w:t>
      </w:r>
      <w:r>
        <w:t xml:space="preserve">Executive Leadership, China Guangzhou Legal Practice</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report details the performance of our Guangzhou-based legal practice during Q3 2024, focusing on client acquisition strategies, service delivery metrics, and market positioning within China's most dynamic commercial hub. As a specialized legal firm operating exclusively in China Guangzhou, we have achieved a 18% year-over-year growth in client engagements through strategic alignment with Guangdong Province's economic priorities. The success of our</w:t>
      </w:r>
      <w:r>
        <w:t xml:space="preserve"> </w:t>
      </w:r>
      <w:r>
        <w:rPr>
          <w:bCs/>
          <w:b/>
        </w:rPr>
        <w:t xml:space="preserve">Lawyer</w:t>
      </w:r>
      <w:r>
        <w:t xml:space="preserve">-led service model demonstrates how localized expertise drives client retention and new business development in the China Guangzhou market.</w:t>
      </w:r>
    </w:p>
    <w:bookmarkEnd w:id="20"/>
    <w:bookmarkStart w:id="21" w:name="market-context-why-china-guangzhou"/>
    <w:p>
      <w:pPr>
        <w:pStyle w:val="Heading2"/>
      </w:pPr>
      <w:r>
        <w:t xml:space="preserve">Market Context: Why China Guangzhou?</w:t>
      </w:r>
    </w:p>
    <w:p>
      <w:pPr>
        <w:pStyle w:val="FirstParagraph"/>
      </w:pPr>
      <w:r>
        <w:t xml:space="preserve">Guangzhou serves as the nerve center for southern China's economy, hosting 68% of multinational corporations' Asia-Pacific offices and the largest Free Trade Zone in Southern China. Our practice leverages this advantage by providing bilingual (Cantonese/English) legal services tailored to foreign enterprises navigating Guangdong's regulatory landscape. The China Guangzhou market presents unique opportunities: rising commercial disputes (+22% YoY), complex IP cases in tech hubs like Nansha, and specialized needs in cross-border e-commerce. As a</w:t>
      </w:r>
      <w:r>
        <w:t xml:space="preserve"> </w:t>
      </w:r>
      <w:r>
        <w:rPr>
          <w:bCs/>
          <w:b/>
        </w:rPr>
        <w:t xml:space="preserve">Lawyer</w:t>
      </w:r>
      <w:r>
        <w:t xml:space="preserve"> </w:t>
      </w:r>
      <w:r>
        <w:t xml:space="preserve">deeply embedded in the city's legal ecosystem, our firm has positioned itself as the preferred partner for businesses seeking compliance within China's evolving regulatory framework.</w:t>
      </w:r>
    </w:p>
    <w:bookmarkEnd w:id="21"/>
    <w:bookmarkStart w:id="22" w:name="client-acquisition-retention-metrics"/>
    <w:p>
      <w:pPr>
        <w:pStyle w:val="Heading2"/>
      </w:pPr>
      <w:r>
        <w:t xml:space="preserve">Client Acquisition &amp; Retention Metrics</w:t>
      </w:r>
    </w:p>
    <w:p>
      <w:pPr>
        <w:pStyle w:val="FirstParagraph"/>
      </w:pPr>
      <w:r>
        <w:rPr>
          <w:iCs/>
          <w:i/>
        </w:rPr>
        <w:t xml:space="preserve">Note: "Sales" refers to client onboarding and contract renewals, not product transactions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Performance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Growth %</w:t>
            </w:r>
          </w:p>
        </w:tc>
        <w:tc>
          <w:tcPr/>
          <w:p>
            <w:pPr>
              <w:pStyle w:val="Compact"/>
            </w:pPr>
          </w:p>
        </w:tc>
        <w:tc>
          <w:tcPr/>
          <w:p>
            <w:pPr>
              <w:pStyle w:val="Compact"/>
            </w:pPr>
          </w:p>
        </w:tc>
      </w:tr>
      <w:tr>
        <w:tc>
          <w:tcPr/>
          <w:p>
            <w:pPr>
              <w:pStyle w:val="Compact"/>
              <w:jc w:val="left"/>
            </w:pPr>
            <w:r>
              <w:t xml:space="preserve">New Client Engagements (China Guangzhou focus)</w:t>
            </w:r>
          </w:p>
        </w:tc>
        <w:tc>
          <w:tcPr/>
          <w:p>
            <w:pPr>
              <w:pStyle w:val="Compact"/>
              <w:jc w:val="left"/>
            </w:pPr>
            <w:r>
              <w:t xml:space="preserve">47</w:t>
            </w:r>
          </w:p>
        </w:tc>
        <w:tc>
          <w:tcPr/>
          <w:p>
            <w:pPr>
              <w:pStyle w:val="Compact"/>
              <w:jc w:val="left"/>
            </w:pPr>
            <w:r>
              <w:t xml:space="preserve">39</w:t>
            </w:r>
          </w:p>
        </w:tc>
        <w:tc>
          <w:tcPr/>
          <w:p>
            <w:pPr>
              <w:pStyle w:val="Compact"/>
              <w:jc w:val="left"/>
            </w:pPr>
            <w:r>
              <w:t xml:space="preserve">+20.5%</w:t>
            </w:r>
          </w:p>
        </w:tc>
        <w:tc>
          <w:tcPr/>
          <w:p>
            <w:pPr>
              <w:pStyle w:val="Compact"/>
            </w:pPr>
          </w:p>
        </w:tc>
        <w:tc>
          <w:tcPr/>
          <w:p>
            <w:pPr>
              <w:pStyle w:val="Compact"/>
            </w:pPr>
          </w:p>
        </w:tc>
      </w:tr>
      <w:tr>
        <w:tc>
          <w:tcPr/>
          <w:p>
            <w:pPr>
              <w:pStyle w:val="Compact"/>
              <w:jc w:val="left"/>
            </w:pPr>
            <w:r>
              <w:t xml:space="preserve">Client Retention Rate (Existing China Guangzhou Clients)</w:t>
            </w:r>
          </w:p>
        </w:tc>
        <w:tc>
          <w:tcPr/>
          <w:p>
            <w:pPr>
              <w:pStyle w:val="Compact"/>
              <w:jc w:val="left"/>
            </w:pPr>
            <w:r>
              <w:t xml:space="preserve">89%</w:t>
            </w:r>
          </w:p>
        </w:tc>
        <w:tc>
          <w:tcPr>
            <w:gridSpan w:val="4"/>
          </w:tcPr>
          <w:p>
            <w:pPr>
              <w:pStyle w:val="Compact"/>
              <w:jc w:val="left"/>
            </w:pPr>
            <w:r>
              <w:t xml:space="preserve">Key Insight: 73% of new clients were referred through existing China Guangzhou enterprise networks.</w:t>
            </w:r>
          </w:p>
        </w:tc>
      </w:tr>
    </w:tbl>
    <w:p>
      <w:pPr>
        <w:pStyle w:val="BodyText"/>
      </w:pPr>
      <w:r>
        <w:t xml:space="preserve">Our Q3 results demonstrate exceptional market penetration in China Guangzhou, driven by three strategic pillars:</w:t>
      </w:r>
    </w:p>
    <w:p>
      <w:pPr>
        <w:numPr>
          <w:ilvl w:val="0"/>
          <w:numId w:val="1001"/>
        </w:numPr>
        <w:pStyle w:val="Compact"/>
      </w:pPr>
      <w:r>
        <w:rPr>
          <w:bCs/>
          <w:b/>
        </w:rPr>
        <w:t xml:space="preserve">Hyperlocal Market Intelligence:</w:t>
      </w:r>
      <w:r>
        <w:t xml:space="preserve"> </w:t>
      </w:r>
      <w:r>
        <w:t xml:space="preserve">The firm's principal lawyer maintains active membership in the Guangzhou Lawyers Association and regularly consults with Guangdong Judicial Bureau officials to anticipate regulatory shifts.</w:t>
      </w:r>
    </w:p>
    <w:p>
      <w:pPr>
        <w:numPr>
          <w:ilvl w:val="0"/>
          <w:numId w:val="1001"/>
        </w:numPr>
        <w:pStyle w:val="Compact"/>
      </w:pPr>
      <w:r>
        <w:rPr>
          <w:bCs/>
          <w:b/>
        </w:rPr>
        <w:t xml:space="preserve">Cultural Integration:</w:t>
      </w:r>
      <w:r>
        <w:t xml:space="preserve"> </w:t>
      </w:r>
      <w:r>
        <w:t xml:space="preserve">All client communications conducted in Cantonese for local businesses, English for international firms – a critical differentiator in China Guangzhou where 63% of foreign enterprises cite language barriers as a top concern.</w:t>
      </w:r>
    </w:p>
    <w:p>
      <w:pPr>
        <w:numPr>
          <w:ilvl w:val="0"/>
          <w:numId w:val="1001"/>
        </w:numPr>
        <w:pStyle w:val="Compact"/>
      </w:pPr>
      <w:r>
        <w:rPr>
          <w:bCs/>
          <w:b/>
        </w:rPr>
        <w:t xml:space="preserve">Guangdong-Specific Service Packages:</w:t>
      </w:r>
      <w:r>
        <w:t xml:space="preserve"> </w:t>
      </w:r>
      <w:r>
        <w:t xml:space="preserve">Customized legal bundles addressing common China Guangzhou pain points (e.g., "Foreign Investment Compliance for Nansha Free Trade Zone," "IP Protection in Guangzhou Tech Parks").</w:t>
      </w:r>
    </w:p>
    <w:bookmarkEnd w:id="22"/>
    <w:bookmarkStart w:id="25" w:name="X525be075a8c04f39bf797f8b5c8123543744f68"/>
    <w:p>
      <w:pPr>
        <w:pStyle w:val="Heading2"/>
      </w:pPr>
      <w:r>
        <w:t xml:space="preserve">Detailed Case Analysis: China Guangzhou Market Focus</w:t>
      </w:r>
    </w:p>
    <w:p>
      <w:pPr>
        <w:pStyle w:val="FirstParagraph"/>
      </w:pPr>
      <w:r>
        <w:t xml:space="preserve">The following high-value engagements exemplify our</w:t>
      </w:r>
      <w:r>
        <w:t xml:space="preserve"> </w:t>
      </w:r>
      <w:r>
        <w:rPr>
          <w:bCs/>
          <w:b/>
        </w:rPr>
        <w:t xml:space="preserve">Lawyer</w:t>
      </w:r>
      <w:r>
        <w:t xml:space="preserve">'s impact within the China Guangzhou ecosystem:</w:t>
      </w:r>
    </w:p>
    <w:bookmarkStart w:id="23" w:name="X9ad5814bee5566d3e1232eb51194cd0e0062264"/>
    <w:p>
      <w:pPr>
        <w:pStyle w:val="Heading3"/>
      </w:pPr>
      <w:r>
        <w:t xml:space="preserve">1. Semiconductor Manufacturing Firm (Shenzhen-based, Guangdong HQ)</w:t>
      </w:r>
    </w:p>
    <w:p>
      <w:pPr>
        <w:pStyle w:val="FirstParagraph"/>
      </w:pPr>
      <w:r>
        <w:rPr>
          <w:iCs/>
          <w:i/>
        </w:rPr>
        <w:t xml:space="preserve">Challenge:</w:t>
      </w:r>
      <w:r>
        <w:t xml:space="preserve"> </w:t>
      </w:r>
      <w:r>
        <w:t xml:space="preserve">Navigating China Guangzhou's new environmental regulations for semiconductor manufacturing plants in the Nansha Economic Development Zone.</w:t>
      </w:r>
    </w:p>
    <w:p>
      <w:pPr>
        <w:pStyle w:val="BodyText"/>
      </w:pPr>
      <w:r>
        <w:rPr>
          <w:iCs/>
          <w:i/>
        </w:rPr>
        <w:t xml:space="preserve">Solution:</w:t>
      </w:r>
      <w:r>
        <w:t xml:space="preserve"> </w:t>
      </w:r>
      <w:r>
        <w:t xml:space="preserve">The principal</w:t>
      </w:r>
      <w:r>
        <w:t xml:space="preserve"> </w:t>
      </w:r>
      <w:r>
        <w:rPr>
          <w:bCs/>
          <w:b/>
        </w:rPr>
        <w:t xml:space="preserve">Lawyer</w:t>
      </w:r>
      <w:r>
        <w:t xml:space="preserve"> </w:t>
      </w:r>
      <w:r>
        <w:t xml:space="preserve">coordinated with Guangzhou Environmental Protection Bureau officials to secure expedited permits, avoiding $1.2M in potential penalties. This resulted in a 3-year retention contract valued at $285K – the largest single client engagement of Q3.</w:t>
      </w:r>
    </w:p>
    <w:bookmarkEnd w:id="23"/>
    <w:bookmarkStart w:id="24" w:name="X7bde53f5c89a24dd8492d1fc219b48b9a4b5433"/>
    <w:p>
      <w:pPr>
        <w:pStyle w:val="Heading3"/>
      </w:pPr>
      <w:r>
        <w:t xml:space="preserve">2. EU E-Commerce Platform (Guangzhou Operational HQ)</w:t>
      </w:r>
    </w:p>
    <w:p>
      <w:pPr>
        <w:pStyle w:val="FirstParagraph"/>
      </w:pPr>
      <w:r>
        <w:rPr>
          <w:iCs/>
          <w:i/>
        </w:rPr>
        <w:t xml:space="preserve">Challenge:</w:t>
      </w:r>
      <w:r>
        <w:t xml:space="preserve"> </w:t>
      </w:r>
      <w:r>
        <w:t xml:space="preserve">Resolving cross-border data privacy disputes under China's PIPL law affecting 450,000 Chinese customers.</w:t>
      </w:r>
    </w:p>
    <w:p>
      <w:pPr>
        <w:pStyle w:val="BodyText"/>
      </w:pPr>
      <w:r>
        <w:rPr>
          <w:iCs/>
          <w:i/>
        </w:rPr>
        <w:t xml:space="preserve">Solution:</w:t>
      </w:r>
      <w:r>
        <w:t xml:space="preserve"> </w:t>
      </w:r>
      <w:r>
        <w:t xml:space="preserve">Our China Guangzhou-based legal team developed a compliance framework aligning with Guangdong Provincial Cybersecurity Regulations, achieving full regulatory alignment within 72 hours. This retained the client for expanded services in Q4 and generated 3 new referral leads.</w:t>
      </w:r>
    </w:p>
    <w:bookmarkEnd w:id="24"/>
    <w:bookmarkEnd w:id="25"/>
    <w:bookmarkStart w:id="26" w:name="Xb9d40e928d28713ad6b0baa8c00a2bcd9050de8"/>
    <w:p>
      <w:pPr>
        <w:pStyle w:val="Heading2"/>
      </w:pPr>
      <w:r>
        <w:t xml:space="preserve">Strategic Positioning: Why Our Lawyer Model Wins in China Guangzhou</w:t>
      </w:r>
    </w:p>
    <w:p>
      <w:pPr>
        <w:pStyle w:val="FirstParagraph"/>
      </w:pPr>
      <w:r>
        <w:t xml:space="preserve">Unlike national firms with generic legal templates, our practice leverages on-the-ground expertise specific to China Guangzhou. Key differentiators include:</w:t>
      </w:r>
    </w:p>
    <w:p>
      <w:pPr>
        <w:numPr>
          <w:ilvl w:val="0"/>
          <w:numId w:val="1002"/>
        </w:numPr>
        <w:pStyle w:val="Compact"/>
      </w:pPr>
      <w:r>
        <w:rPr>
          <w:bCs/>
          <w:b/>
        </w:rPr>
        <w:t xml:space="preserve">Guangzhou Court System Familiarity:</w:t>
      </w:r>
      <w:r>
        <w:t xml:space="preserve"> </w:t>
      </w:r>
      <w:r>
        <w:t xml:space="preserve">100% of our lawyers have represented clients in the Guangzhou Intermediate People's Court, understanding local judicial interpretations critical to case outcomes.</w:t>
      </w:r>
    </w:p>
    <w:p>
      <w:pPr>
        <w:numPr>
          <w:ilvl w:val="0"/>
          <w:numId w:val="1002"/>
        </w:numPr>
        <w:pStyle w:val="Compact"/>
      </w:pPr>
      <w:r>
        <w:rPr>
          <w:bCs/>
          <w:b/>
        </w:rPr>
        <w:t xml:space="preserve">Proactive Regulatory Engagement:</w:t>
      </w:r>
      <w:r>
        <w:t xml:space="preserve"> </w:t>
      </w:r>
      <w:r>
        <w:t xml:space="preserve">Monthly briefings with China Guangzhou Municipal Commerce Bureau staff ensure we anticipate legal changes before they impact clients.</w:t>
      </w:r>
    </w:p>
    <w:p>
      <w:pPr>
        <w:numPr>
          <w:ilvl w:val="0"/>
          <w:numId w:val="1002"/>
        </w:numPr>
        <w:pStyle w:val="Compact"/>
      </w:pPr>
      <w:r>
        <w:rPr>
          <w:bCs/>
          <w:b/>
        </w:rPr>
        <w:t xml:space="preserve">Cultural Fluency in Business Operations:</w:t>
      </w:r>
      <w:r>
        <w:t xml:space="preserve"> </w:t>
      </w:r>
      <w:r>
        <w:t xml:space="preserve">We understand that in China Guangzhou, relationships (guanxi) are as important as contracts – our lawyer consistently incorporates local business etiquette into client interactions.</w:t>
      </w:r>
    </w:p>
    <w:bookmarkEnd w:id="26"/>
    <w:bookmarkStart w:id="27" w:name="q4-strategic-recommendations"/>
    <w:p>
      <w:pPr>
        <w:pStyle w:val="Heading2"/>
      </w:pPr>
      <w:r>
        <w:t xml:space="preserve">Q4 Strategic Recommendations</w:t>
      </w:r>
    </w:p>
    <w:p>
      <w:pPr>
        <w:pStyle w:val="FirstParagraph"/>
      </w:pPr>
      <w:r>
        <w:t xml:space="preserve">To capitalize on China Guangzhou's commercial momentum, we recommend:</w:t>
      </w:r>
    </w:p>
    <w:p>
      <w:pPr>
        <w:numPr>
          <w:ilvl w:val="0"/>
          <w:numId w:val="1003"/>
        </w:numPr>
        <w:pStyle w:val="Compact"/>
      </w:pPr>
      <w:r>
        <w:t xml:space="preserve">Expand "Guangdong Legal Clinic" to 15+ free workshops at Guangzhou Enterprise Service Centers (target: 30% new lead generation).</w:t>
      </w:r>
    </w:p>
    <w:p>
      <w:pPr>
        <w:numPr>
          <w:ilvl w:val="0"/>
          <w:numId w:val="1003"/>
        </w:numPr>
        <w:pStyle w:val="Compact"/>
      </w:pPr>
      <w:r>
        <w:t xml:space="preserve">Pilot a specialized "China Guangzhou E-Commerce Compliance" service line targeting Shopee/Temu sellers in Nansha.</w:t>
      </w:r>
    </w:p>
    <w:p>
      <w:pPr>
        <w:numPr>
          <w:ilvl w:val="0"/>
          <w:numId w:val="1003"/>
        </w:numPr>
        <w:pStyle w:val="Compact"/>
      </w:pPr>
      <w:r>
        <w:t xml:space="preserve">Develop a bilingual (English/Cantonese) client portal with real-time updates on Guangdong provincial legal notices.</w:t>
      </w:r>
    </w:p>
    <w:bookmarkEnd w:id="27"/>
    <w:bookmarkStart w:id="28" w:name="conclusion"/>
    <w:p>
      <w:pPr>
        <w:pStyle w:val="Heading2"/>
      </w:pPr>
      <w:r>
        <w:t xml:space="preserve">Conclusion</w:t>
      </w:r>
    </w:p>
    <w:p>
      <w:pPr>
        <w:pStyle w:val="FirstParagraph"/>
      </w:pPr>
      <w:r>
        <w:t xml:space="preserve">The Q3 performance underscores that effective legal practice in China Guangzhou requires more than theoretical expertise – it demands deep, active participation in the city's business ecosystem. Our firm’s strategic focus on localized service delivery has established us as the trusted advisor for foreign enterprises navigating China's most dynamic market. The 18% growth rate validates our model: when a</w:t>
      </w:r>
      <w:r>
        <w:t xml:space="preserve"> </w:t>
      </w:r>
      <w:r>
        <w:rPr>
          <w:bCs/>
          <w:b/>
        </w:rPr>
        <w:t xml:space="preserve">Lawyer</w:t>
      </w:r>
      <w:r>
        <w:t xml:space="preserve"> </w:t>
      </w:r>
      <w:r>
        <w:t xml:space="preserve">embodies China Guangzhou’s unique legal landscape, client acquisition and retention become sustainable competitive advantages. As we enter Q4, this report confirms that our practice is not merely delivering legal services – we are actively shaping the business environment within China Guangzhou through specialized, responsive expertise. The path forward remains clear: deepen our Guangdong market intelligence while expanding service lines aligned with China's evolving regulatory priorities.</w:t>
      </w:r>
    </w:p>
    <w:p>
      <w:pPr>
        <w:pStyle w:val="BodyText"/>
      </w:pPr>
      <w:r>
        <w:rPr>
          <w:bCs/>
          <w:b/>
        </w:rPr>
        <w:t xml:space="preserve">Prepared by:</w:t>
      </w:r>
      <w:r>
        <w:t xml:space="preserve"> </w:t>
      </w:r>
      <w:r>
        <w:t xml:space="preserve">Legal Strategy &amp; Development Team</w:t>
      </w:r>
      <w:r>
        <w:br/>
      </w:r>
      <w:r>
        <w:rPr>
          <w:bCs/>
          <w:b/>
        </w:rPr>
        <w:t xml:space="preserve">Guangzhou Legal Practice | Serving China Guangzhou Since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Legal Services Sales Report</dc:title>
  <dc:creator/>
  <dc:language>en</dc:language>
  <cp:keywords/>
  <dcterms:created xsi:type="dcterms:W3CDTF">2026-07-23T21:26:03Z</dcterms:created>
  <dcterms:modified xsi:type="dcterms:W3CDTF">2026-07-23T21:26:03Z</dcterms:modified>
</cp:coreProperties>
</file>

<file path=docProps/custom.xml><?xml version="1.0" encoding="utf-8"?>
<Properties xmlns="http://schemas.openxmlformats.org/officeDocument/2006/custom-properties" xmlns:vt="http://schemas.openxmlformats.org/officeDocument/2006/docPropsVTypes"/>
</file>