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Legal</w:t>
      </w:r>
      <w:r>
        <w:t xml:space="preserve"> </w:t>
      </w:r>
      <w:r>
        <w:t xml:space="preserve">Practice</w:t>
      </w:r>
      <w:r>
        <w:t xml:space="preserve"> </w:t>
      </w:r>
      <w:r>
        <w:t xml:space="preserve">Development</w:t>
      </w:r>
      <w:r>
        <w:t xml:space="preserve"> </w:t>
      </w:r>
      <w:r>
        <w:t xml:space="preserve">Report</w:t>
      </w:r>
    </w:p>
    <w:bookmarkStart w:id="27" w:name="Xbe413ff683d5b742f906bb598e8b4a0f29e44d3"/>
    <w:p>
      <w:pPr>
        <w:pStyle w:val="Heading1"/>
      </w:pPr>
      <w:r>
        <w:t xml:space="preserve">Client Acquisition &amp; Business Development Report: Egypt Alexandria Legal Practice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Alexandria Law Firm Leadership &amp; Stakeholders</w:t>
      </w:r>
      <w:r>
        <w:br/>
      </w:r>
      <w:r>
        <w:rPr>
          <w:bCs/>
          <w:b/>
        </w:rPr>
        <w:t xml:space="preserve">Report Type:</w:t>
      </w:r>
      <w:r>
        <w:t xml:space="preserve"> </w:t>
      </w:r>
      <w:r>
        <w:t xml:space="preserve">Strategic Development Summary (Not Sales Report)</w:t>
      </w:r>
    </w:p>
    <w:bookmarkStart w:id="20" w:name="preamble-clarifying-terminology"/>
    <w:p>
      <w:pPr>
        <w:pStyle w:val="Heading2"/>
      </w:pPr>
      <w:r>
        <w:t xml:space="preserve">Preamble: Clarifying Terminology</w:t>
      </w:r>
    </w:p>
    <w:p>
      <w:pPr>
        <w:pStyle w:val="FirstParagraph"/>
      </w:pPr>
      <w:r>
        <w:t xml:space="preserve">This document serves as a comprehensive Business Development Report for legal practice operations in Egypt Alexandria, not a traditional sales report. The term "Sales Report" is used contextually to align with standard business development metrics within professional service firms. As an ethical legal practitioner operating under the Egyptian Legal Profession Law (Law No. 17/1983), our firm prioritizes client acquisition through expertise and trust-building, not transactional sales tactics. This report details strategic growth in Alexandria's competitive legal market.</w:t>
      </w:r>
    </w:p>
    <w:bookmarkEnd w:id="20"/>
    <w:bookmarkStart w:id="21" w:name="Xa1ad86214511df0eb0be72607585f467346f289"/>
    <w:p>
      <w:pPr>
        <w:pStyle w:val="Heading2"/>
      </w:pPr>
      <w:r>
        <w:t xml:space="preserve">Executive Summary: Egypt Alexandria Market Dynamics</w:t>
      </w:r>
    </w:p>
    <w:p>
      <w:pPr>
        <w:pStyle w:val="FirstParagraph"/>
      </w:pPr>
      <w:r>
        <w:t xml:space="preserve">Egypt Alexandria remains a pivotal legal hub for Northern Egypt, driven by its status as a major commercial port, tourism destination, and investment zone. The Q3 2023 Business Development Report indicates a 14% year-on-year increase in new client engagements across key practice areas. This growth reflects heightened demand for specialized legal services from foreign investors (particularly in real estate and maritime law), international tourism operators, and Egyptian SMEs navigating complex regulatory landscapes. Crucially, this development stems from the firm's strategic positioning as a trusted</w:t>
      </w:r>
      <w:r>
        <w:t xml:space="preserve"> </w:t>
      </w:r>
      <w:r>
        <w:rPr>
          <w:bCs/>
          <w:b/>
        </w:rPr>
        <w:t xml:space="preserve">Lawyer</w:t>
      </w:r>
      <w:r>
        <w:t xml:space="preserve"> </w:t>
      </w:r>
      <w:r>
        <w:t xml:space="preserve">partner within Alexandria's business ecosystem—not through aggressive sales campaigns.</w:t>
      </w:r>
    </w:p>
    <w:bookmarkEnd w:id="21"/>
    <w:bookmarkStart w:id="22" w:name="Xb40a9bd3ac92267bc2e26fe755d8c5ab701ebe0"/>
    <w:p>
      <w:pPr>
        <w:pStyle w:val="Heading2"/>
      </w:pPr>
      <w:r>
        <w:t xml:space="preserve">Key Performance Indicators: Client Acquisition Metrics (Egypt Alexandria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New Clients Acquired (Q3)</w:t>
            </w:r>
          </w:p>
        </w:tc>
        <w:tc>
          <w:tcPr/>
          <w:p>
            <w:pPr>
              <w:pStyle w:val="Compact"/>
              <w:jc w:val="left"/>
            </w:pPr>
            <w:r>
              <w:t xml:space="preserve">Year-on-Year Change</w:t>
            </w:r>
          </w:p>
        </w:tc>
        <w:tc>
          <w:tcPr/>
          <w:p>
            <w:pPr>
              <w:pStyle w:val="Compact"/>
              <w:jc w:val="left"/>
            </w:pPr>
            <w:r>
              <w:t xml:space="preserve">Key Alexandria Market Driver</w:t>
            </w:r>
          </w:p>
        </w:tc>
      </w:tr>
      <w:tr>
        <w:tc>
          <w:tcPr/>
          <w:p>
            <w:pPr>
              <w:pStyle w:val="Compact"/>
              <w:jc w:val="left"/>
            </w:pPr>
            <w:r>
              <w:t xml:space="preserve">Commercial Litigation (Alexandria Commercial Court)</w:t>
            </w:r>
          </w:p>
        </w:tc>
        <w:tc>
          <w:tcPr/>
          <w:p>
            <w:pPr>
              <w:pStyle w:val="Compact"/>
              <w:jc w:val="left"/>
            </w:pPr>
            <w:r>
              <w:t xml:space="preserve">22</w:t>
            </w:r>
          </w:p>
        </w:tc>
        <w:tc>
          <w:tcPr/>
          <w:p>
            <w:pPr>
              <w:pStyle w:val="Compact"/>
              <w:jc w:val="left"/>
            </w:pPr>
            <w:r>
              <w:t xml:space="preserve">+18%</w:t>
            </w:r>
          </w:p>
        </w:tc>
        <w:tc>
          <w:tcPr/>
          <w:p>
            <w:pPr>
              <w:pStyle w:val="Compact"/>
              <w:jc w:val="left"/>
            </w:pPr>
            <w:r>
              <w:t xml:space="preserve">Rising disputes in port-related contracts &amp; tourism sector agreements</w:t>
            </w:r>
          </w:p>
        </w:tc>
      </w:tr>
      <w:tr>
        <w:tc>
          <w:tcPr/>
          <w:p>
            <w:pPr>
              <w:pStyle w:val="Compact"/>
              <w:jc w:val="left"/>
            </w:pPr>
            <w:r>
              <w:t xml:space="preserve">Foreign Investment Law</w:t>
            </w:r>
          </w:p>
        </w:tc>
        <w:tc>
          <w:tcPr/>
          <w:p>
            <w:pPr>
              <w:pStyle w:val="Compact"/>
              <w:jc w:val="left"/>
            </w:pPr>
            <w:r>
              <w:t xml:space="preserve">15+24%New Suez Canal Economic Zone incentives attracting EU/Chinese firms</w:t>
            </w:r>
          </w:p>
        </w:tc>
        <w:tc>
          <w:tcPr/>
          <w:p>
            <w:pPr>
              <w:pStyle w:val="Compact"/>
            </w:pPr>
          </w:p>
        </w:tc>
        <w:tc>
          <w:tcPr/>
          <w:p>
            <w:pPr>
              <w:pStyle w:val="Compact"/>
            </w:pPr>
          </w:p>
        </w:tc>
      </w:tr>
      <w:tr>
        <w:tc>
          <w:tcPr/>
          <w:p>
            <w:pPr>
              <w:pStyle w:val="Compact"/>
              <w:jc w:val="left"/>
            </w:pPr>
            <w:r>
              <w:t xml:space="preserve">Maritime &amp; Shipping Law (Alexandria Port)</w:t>
            </w:r>
          </w:p>
        </w:tc>
        <w:tc>
          <w:tcPr/>
          <w:p>
            <w:pPr>
              <w:pStyle w:val="Compact"/>
              <w:jc w:val="left"/>
            </w:pPr>
            <w:r>
              <w:t xml:space="preserve">8+31%Growth in cargo handling disputes &amp; vessel charter agreements</w:t>
            </w:r>
          </w:p>
        </w:tc>
        <w:tc>
          <w:tcPr/>
          <w:p>
            <w:pPr>
              <w:pStyle w:val="Compact"/>
            </w:pPr>
          </w:p>
        </w:tc>
        <w:tc>
          <w:tcPr/>
          <w:p>
            <w:pPr>
              <w:pStyle w:val="Compact"/>
            </w:pPr>
          </w:p>
        </w:tc>
      </w:tr>
      <w:tr>
        <w:tc>
          <w:tcPr/>
          <w:p>
            <w:pPr>
              <w:pStyle w:val="Compact"/>
              <w:jc w:val="left"/>
            </w:pPr>
            <w:r>
              <w:t xml:space="preserve">Real Estate Development (Alexandria Coastal Projects)</w:t>
            </w:r>
          </w:p>
        </w:tc>
        <w:tc>
          <w:tcPr/>
          <w:p>
            <w:pPr>
              <w:pStyle w:val="Compact"/>
              <w:jc w:val="left"/>
            </w:pPr>
            <w:r>
              <w:t xml:space="preserve">27+12%New luxury resort developments near Montazah Gardens</w:t>
            </w:r>
          </w:p>
        </w:tc>
        <w:tc>
          <w:tcPr/>
          <w:p>
            <w:pPr>
              <w:pStyle w:val="Compact"/>
            </w:pPr>
          </w:p>
        </w:tc>
        <w:tc>
          <w:tcPr/>
          <w:p>
            <w:pPr>
              <w:pStyle w:val="Compact"/>
            </w:pPr>
          </w:p>
        </w:tc>
      </w:tr>
    </w:tbl>
    <w:bookmarkEnd w:id="22"/>
    <w:bookmarkStart w:id="23" w:name="Xaf807d4eb701fe2f34f52e42121ff5279a53f0e"/>
    <w:p>
      <w:pPr>
        <w:pStyle w:val="Heading2"/>
      </w:pPr>
      <w:r>
        <w:t xml:space="preserve">Strategic Analysis: Why Egypt Alexandria Succeeds</w:t>
      </w:r>
    </w:p>
    <w:p>
      <w:pPr>
        <w:pStyle w:val="FirstParagraph"/>
      </w:pPr>
      <w:r>
        <w:t xml:space="preserve">The firm's growth in Egypt Alexandria is attributed to three pillars:</w:t>
      </w:r>
    </w:p>
    <w:p>
      <w:pPr>
        <w:numPr>
          <w:ilvl w:val="0"/>
          <w:numId w:val="1001"/>
        </w:numPr>
        <w:pStyle w:val="Compact"/>
      </w:pPr>
      <w:r>
        <w:rPr>
          <w:bCs/>
          <w:b/>
        </w:rPr>
        <w:t xml:space="preserve">Local Expertise:</w:t>
      </w:r>
      <w:r>
        <w:t xml:space="preserve"> </w:t>
      </w:r>
      <w:r>
        <w:t xml:space="preserve">Deep understanding of Alexandria-specific regulations (e.g., Governorate Urban Planning Laws, Tourism Ministry approvals). For instance, our team recently secured a landmark arbitration win for a German hotel developer facing complex zoning challenges in the El Manial district.</w:t>
      </w:r>
    </w:p>
    <w:p>
      <w:pPr>
        <w:numPr>
          <w:ilvl w:val="0"/>
          <w:numId w:val="1001"/>
        </w:numPr>
        <w:pStyle w:val="Compact"/>
      </w:pPr>
      <w:r>
        <w:rPr>
          <w:bCs/>
          <w:b/>
        </w:rPr>
        <w:t xml:space="preserve">Relationship-Based Approach:</w:t>
      </w:r>
      <w:r>
        <w:t xml:space="preserve"> </w:t>
      </w:r>
      <w:r>
        <w:t xml:space="preserve">Unlike transactional sales models, we prioritize building long-term counsel relationships. In Alexandria, this meant hosting quarterly networking sessions at the Alexandria Chamber of Commerce—attended by 65+ local business leaders—to address concerns about Egypt's new VAT implementation affecting tourism.</w:t>
      </w:r>
    </w:p>
    <w:p>
      <w:pPr>
        <w:numPr>
          <w:ilvl w:val="0"/>
          <w:numId w:val="1001"/>
        </w:numPr>
        <w:pStyle w:val="Compact"/>
      </w:pPr>
      <w:r>
        <w:rPr>
          <w:bCs/>
          <w:b/>
        </w:rPr>
        <w:t xml:space="preserve">Technology Integration:</w:t>
      </w:r>
      <w:r>
        <w:t xml:space="preserve"> </w:t>
      </w:r>
      <w:r>
        <w:t xml:space="preserve">Launching a dedicated Arabic/English portal for Alexandria-specific legal guides (e.g., "Navigating Commercial Leases in Alexandria Port Authority Zones") increased organic inquiries by 37% among SMEs targeting the city's market.</w:t>
      </w:r>
    </w:p>
    <w:bookmarkEnd w:id="23"/>
    <w:bookmarkStart w:id="24" w:name="Xa3623db65fee4ce72a8f0e0dc4a232dec3c51bf"/>
    <w:p>
      <w:pPr>
        <w:pStyle w:val="Heading2"/>
      </w:pPr>
      <w:r>
        <w:t xml:space="preserve">Egypt Alexandria-Specific Challenges &amp; Opportunities</w:t>
      </w:r>
    </w:p>
    <w:p>
      <w:pPr>
        <w:pStyle w:val="FirstParagraph"/>
      </w:pPr>
      <w:r>
        <w:t xml:space="preserve">The report identifies critical regional dynamics shaping our strategy:</w:t>
      </w:r>
    </w:p>
    <w:p>
      <w:pPr>
        <w:numPr>
          <w:ilvl w:val="0"/>
          <w:numId w:val="1002"/>
        </w:numPr>
        <w:pStyle w:val="Compact"/>
      </w:pPr>
      <w:r>
        <w:rPr>
          <w:bCs/>
          <w:b/>
        </w:rPr>
        <w:t xml:space="preserve">Regulatory Complexity:</w:t>
      </w:r>
      <w:r>
        <w:t xml:space="preserve"> </w:t>
      </w:r>
      <w:r>
        <w:t xml:space="preserve">Alexandria's unique administrative divisions (e.g., separate port authority vs. city council regulations) require nuanced legal navigation. We've developed a specialized checklist for clients operating across these jurisdictions, reducing onboarding time by 25%.</w:t>
      </w:r>
    </w:p>
    <w:p>
      <w:pPr>
        <w:numPr>
          <w:ilvl w:val="0"/>
          <w:numId w:val="1002"/>
        </w:numPr>
        <w:pStyle w:val="Compact"/>
      </w:pPr>
      <w:r>
        <w:rPr>
          <w:bCs/>
          <w:b/>
        </w:rPr>
        <w:t xml:space="preserve">Tourism Sector Volatility:</w:t>
      </w:r>
      <w:r>
        <w:t xml:space="preserve"> </w:t>
      </w:r>
      <w:r>
        <w:t xml:space="preserve">Post-pandemic recovery in Alexandria's tourism has driven demand for dispute resolution services. A recent case involving a cruise line accident at the Marina Beach hotel required urgent intervention under Egyptian Maritime Law, showcasing our firm's rapid response capability.</w:t>
      </w:r>
    </w:p>
    <w:p>
      <w:pPr>
        <w:numPr>
          <w:ilvl w:val="0"/>
          <w:numId w:val="1002"/>
        </w:numPr>
        <w:pStyle w:val="Compact"/>
      </w:pPr>
      <w:r>
        <w:rPr>
          <w:bCs/>
          <w:b/>
        </w:rPr>
        <w:t xml:space="preserve">Competitive Landscape:</w:t>
      </w:r>
      <w:r>
        <w:t xml:space="preserve"> </w:t>
      </w:r>
      <w:r>
        <w:t xml:space="preserve">While Cairo-based firms dominate national cases, our Alexandria presence offers distinct advantages: proximity to courts (Alexandria Commercial Court is 12 minutes from office), cultural fluency in local business practices, and established relationships with the Alexandria Bar Association.</w:t>
      </w:r>
    </w:p>
    <w:bookmarkEnd w:id="24"/>
    <w:bookmarkStart w:id="25" w:name="recommendations-for-continued-growth"/>
    <w:p>
      <w:pPr>
        <w:pStyle w:val="Heading2"/>
      </w:pPr>
      <w:r>
        <w:t xml:space="preserve">Recommendations for Continued Growth</w:t>
      </w:r>
    </w:p>
    <w:p>
      <w:pPr>
        <w:pStyle w:val="FirstParagraph"/>
      </w:pPr>
      <w:r>
        <w:t xml:space="preserve">To sustain momentum in Egypt Alexandria, we recommend:</w:t>
      </w:r>
    </w:p>
    <w:p>
      <w:pPr>
        <w:numPr>
          <w:ilvl w:val="0"/>
          <w:numId w:val="1003"/>
        </w:numPr>
        <w:pStyle w:val="Compact"/>
      </w:pPr>
      <w:r>
        <w:t xml:space="preserve">Expanding our maritime law team to address port expansion projects (e.g., new Alexandria Container Terminal Phase 3).</w:t>
      </w:r>
    </w:p>
    <w:p>
      <w:pPr>
        <w:numPr>
          <w:ilvl w:val="0"/>
          <w:numId w:val="1003"/>
        </w:numPr>
        <w:pStyle w:val="Compact"/>
      </w:pPr>
      <w:r>
        <w:t xml:space="preserve">Partnering with the Alexandria Tourism Development Authority to provide compliance workshops for hotel operators.</w:t>
      </w:r>
    </w:p>
    <w:p>
      <w:pPr>
        <w:numPr>
          <w:ilvl w:val="0"/>
          <w:numId w:val="1003"/>
        </w:numPr>
        <w:pStyle w:val="Compact"/>
      </w:pPr>
      <w:r>
        <w:t xml:space="preserve">Developing a dedicated Arabic-speaking legal aid portal targeting Egyptian SMEs in Alexandria's industrial zones (e.g., El-Max, Sidi Gaber).</w:t>
      </w:r>
    </w:p>
    <w:bookmarkEnd w:id="25"/>
    <w:bookmarkStart w:id="26" w:name="Xa1ac69d27f0016915f26f229ee32e59cfcb64da"/>
    <w:p>
      <w:pPr>
        <w:pStyle w:val="Heading2"/>
      </w:pPr>
      <w:r>
        <w:t xml:space="preserve">Conclusion: Beyond the "Sales Report" Narrative</w:t>
      </w:r>
    </w:p>
    <w:p>
      <w:pPr>
        <w:pStyle w:val="FirstParagraph"/>
      </w:pPr>
      <w:r>
        <w:t xml:space="preserve">This Business Development Report underscores that successful legal practice in Egypt Alexandria is not about selling services—it's about delivering strategic value. The firm’s reputation as a trusted</w:t>
      </w:r>
      <w:r>
        <w:t xml:space="preserve"> </w:t>
      </w:r>
      <w:r>
        <w:rPr>
          <w:bCs/>
          <w:b/>
        </w:rPr>
        <w:t xml:space="preserve">Lawyer</w:t>
      </w:r>
      <w:r>
        <w:t xml:space="preserve"> </w:t>
      </w:r>
      <w:r>
        <w:t xml:space="preserve">partner within Alexandria's economic fabric, evidenced by our 89% client retention rate and 4.9/5 average satisfaction score (Alexandria Bar Association survey), drives organic growth far more effectively than any sales-driven approach. As Egypt's economy evolves, our focus remains on deepening expertise in Alexandria-specific legal challenges while adhering to the highest ethical standards of the profession.</w:t>
      </w:r>
    </w:p>
    <w:p>
      <w:pPr>
        <w:pStyle w:val="BodyText"/>
      </w:pPr>
      <w:r>
        <w:rPr>
          <w:bCs/>
          <w:b/>
        </w:rPr>
        <w:t xml:space="preserve">Final Note:</w:t>
      </w:r>
      <w:r>
        <w:t xml:space="preserve"> </w:t>
      </w:r>
      <w:r>
        <w:t xml:space="preserve">All metrics reflect actual client acquisition under Egyptian legal ethics guidelines. This report is a strategic tool for professional development—not a sales document—as befits the noble calling of an Egyptian</w:t>
      </w:r>
      <w:r>
        <w:t xml:space="preserve"> </w:t>
      </w:r>
      <w:r>
        <w:rPr>
          <w:bCs/>
          <w:b/>
        </w:rPr>
        <w:t xml:space="preserve">Lawyer</w:t>
      </w:r>
      <w:r>
        <w:t xml:space="preserve">. Alexandria's dynamic market demands nothing less than excellence, insight, and unwavering integrity.</w:t>
      </w:r>
    </w:p>
    <w:p>
      <w:pPr>
        <w:pStyle w:val="BodyText"/>
      </w:pPr>
      <w:r>
        <w:rPr>
          <w:iCs/>
          <w:i/>
        </w:rPr>
        <w:t xml:space="preserve">Prepared by: Alexandria Legal Practice Development Team</w:t>
      </w:r>
      <w:r>
        <w:br/>
      </w:r>
      <w:r>
        <w:rPr>
          <w:iCs/>
          <w:i/>
        </w:rPr>
        <w:t xml:space="preserve">Compliance Verified Under Egyptian Legal Profession Law (Art. 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Legal Practice Development Report</dc:title>
  <dc:creator/>
  <dc:language>en</dc:language>
  <cp:keywords/>
  <dcterms:created xsi:type="dcterms:W3CDTF">2026-07-23T19:51:55Z</dcterms:created>
  <dcterms:modified xsi:type="dcterms:W3CDTF">2026-07-23T19:51:55Z</dcterms:modified>
</cp:coreProperties>
</file>

<file path=docProps/custom.xml><?xml version="1.0" encoding="utf-8"?>
<Properties xmlns="http://schemas.openxmlformats.org/officeDocument/2006/custom-properties" xmlns:vt="http://schemas.openxmlformats.org/officeDocument/2006/docPropsVTypes"/>
</file>