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31" w:name="X58aab69dc2dace7c91cd2ce6935107f6e02dd31"/>
    <w:p>
      <w:pPr>
        <w:pStyle w:val="Heading1"/>
      </w:pPr>
      <w:r>
        <w:t xml:space="preserve">Sales Report: Strategic Growth Analysis of Legal Services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Berlin Legal Practice Group</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[Firm Name], a leading law firm operating in Germany Berlin, across all service lines during Q3 2023. The quarter demonstrated significant growth in client acquisition and revenue generation, with Berlin serving as the strategic hub for our expansion into German legal markets. Our commitment to delivering specialized legal solutions positioned us as a preferred counsel for both domestic and international clients navigating complex regulations in Germany Berlin. Total sales revenue reached €1,850,000 – an 18% increase from Q2 and 34% above Q3 2022. This growth underscores the critical role of our legal expertise in driving business outcomes for clients operating within the German jurisdiction.</w:t>
      </w:r>
    </w:p>
    <w:bookmarkEnd w:id="20"/>
    <w:bookmarkStart w:id="24" w:name="ii.-key-performance-metrics"/>
    <w:p>
      <w:pPr>
        <w:pStyle w:val="Heading2"/>
      </w:pPr>
      <w:r>
        <w:t xml:space="preserve">II. Key Performance Metrics</w:t>
      </w:r>
    </w:p>
    <w:bookmarkStart w:id="21" w:name="a.-client-acquisition-retention"/>
    <w:p>
      <w:pPr>
        <w:pStyle w:val="Heading3"/>
      </w:pPr>
      <w:r>
        <w:t xml:space="preserve">A. Client Acquisition &amp; Retention</w:t>
      </w:r>
    </w:p>
    <w:p>
      <w:pPr>
        <w:pStyle w:val="FirstParagraph"/>
      </w:pPr>
      <w:r>
        <w:t xml:space="preserve">Our sales strategy focused on targeted outreach to Berlin-based enterprises and multinational corporations establishing operations in Germany Berlin. We secured 42 new clients during Q3, a 27% increase from the previous quarter, including:</w:t>
      </w:r>
    </w:p>
    <w:p>
      <w:pPr>
        <w:numPr>
          <w:ilvl w:val="0"/>
          <w:numId w:val="1001"/>
        </w:numPr>
        <w:pStyle w:val="Compact"/>
      </w:pPr>
      <w:r>
        <w:rPr>
          <w:bCs/>
          <w:b/>
        </w:rPr>
        <w:t xml:space="preserve">15 Corporate Clients:</w:t>
      </w:r>
      <w:r>
        <w:t xml:space="preserve"> </w:t>
      </w:r>
      <w:r>
        <w:t xml:space="preserve">Major German manufacturing firms seeking compliance solutions under EU Digital Services Act (DSA)</w:t>
      </w:r>
    </w:p>
    <w:p>
      <w:pPr>
        <w:numPr>
          <w:ilvl w:val="0"/>
          <w:numId w:val="1001"/>
        </w:numPr>
        <w:pStyle w:val="Compact"/>
      </w:pPr>
      <w:r>
        <w:rPr>
          <w:bCs/>
          <w:b/>
        </w:rPr>
        <w:t xml:space="preserve">9 Immigration Cases:</w:t>
      </w:r>
      <w:r>
        <w:t xml:space="preserve"> </w:t>
      </w:r>
      <w:r>
        <w:t xml:space="preserve">High-demand services for foreign executives relocating to Germany Berlin</w:t>
      </w:r>
    </w:p>
    <w:p>
      <w:pPr>
        <w:pStyle w:val="FirstParagraph"/>
      </w:pPr>
      <w:r>
        <w:t xml:space="preserve">Client retention rate improved to 92% (from 87% in Q2), directly attributable to our proactive approach by the Berlin-based legal team. Each client assignment was managed by a dedicated Lawyer with deep expertise in German commercial law, ensuring seamless service delivery within Berlin’s regulatory landscape.</w:t>
      </w:r>
    </w:p>
    <w:bookmarkEnd w:id="21"/>
    <w:bookmarkStart w:id="22" w:name="b.-service-line-revenue-breakdown"/>
    <w:p>
      <w:pPr>
        <w:pStyle w:val="Heading3"/>
      </w:pPr>
      <w:r>
        <w:t xml:space="preserve">B. Service Line Revenue Breakdown</w:t>
      </w:r>
    </w:p>
    <w:p>
      <w:pPr>
        <w:pStyle w:val="FirstParagraph"/>
      </w:pPr>
      <w:r>
        <w:t xml:space="preserve">Service Line</w:t>
      </w:r>
    </w:p>
    <w:p>
      <w:pPr>
        <w:pStyle w:val="BodyText"/>
      </w:pPr>
      <w:r>
        <w:t xml:space="preserve">Revenue (€)</w:t>
      </w:r>
    </w:p>
    <w:p>
      <w:pPr>
        <w:pStyle w:val="BodyText"/>
      </w:pPr>
      <w:r>
        <w:t xml:space="preserve">% of Total</w:t>
      </w:r>
    </w:p>
    <w:p>
      <w:pPr>
        <w:pStyle w:val="BodyText"/>
      </w:pPr>
      <w:r>
        <w:t xml:space="preserve">Growth vs Q2</w:t>
      </w:r>
    </w:p>
    <w:p>
      <w:pPr>
        <w:pStyle w:val="BodyText"/>
      </w:pPr>
      <w:r>
        <w:t xml:space="preserve">Corporate Compliance (Germany Berlin Focus)</w:t>
      </w:r>
    </w:p>
    <w:p>
      <w:pPr>
        <w:pStyle w:val="BodyText"/>
      </w:pPr>
      <w:r>
        <w:t xml:space="preserve">720,000</w:t>
      </w:r>
    </w:p>
    <w:p>
      <w:pPr>
        <w:pStyle w:val="BodyText"/>
      </w:pPr>
      <w:r>
        <w:t xml:space="preserve">39%</w:t>
      </w:r>
    </w:p>
    <w:p>
      <w:pPr>
        <w:pStyle w:val="BodyText"/>
      </w:pPr>
      <w:r>
        <w:t xml:space="preserve">+28%</w:t>
      </w:r>
    </w:p>
    <w:p>
      <w:pPr>
        <w:pStyle w:val="BodyText"/>
      </w:pPr>
      <w:r>
        <w:t xml:space="preserve">Immigration &amp; Work Permits</w:t>
      </w:r>
    </w:p>
    <w:p>
      <w:pPr>
        <w:pStyle w:val="BodyText"/>
      </w:pPr>
      <w:r>
        <w:t xml:space="preserve">455,000</w:t>
      </w:r>
    </w:p>
    <w:p>
      <w:pPr>
        <w:pStyle w:val="BodyText"/>
      </w:pPr>
      <w:r>
        <w:t xml:space="preserve">% of Total</w:t>
      </w:r>
    </w:p>
    <w:p>
      <w:pPr>
        <w:pStyle w:val="BodyText"/>
      </w:pPr>
      <w:r>
        <w:t xml:space="preserve">Growth vs Q2</w:t>
      </w:r>
    </w:p>
    <w:p>
      <w:pPr>
        <w:pStyle w:val="BodyText"/>
      </w:pPr>
      <w:r>
        <w:t xml:space="preserve">Corporate Compliance (Germany Berlin Focus)</w:t>
      </w:r>
    </w:p>
    <w:p>
      <w:pPr>
        <w:pStyle w:val="BodyText"/>
      </w:pPr>
      <w:r>
        <w:t xml:space="preserve">720,000</w:t>
      </w:r>
    </w:p>
    <w:p>
      <w:pPr>
        <w:pStyle w:val="BodyText"/>
      </w:pPr>
      <w:r>
        <w:t xml:space="preserve">39%</w:t>
      </w:r>
    </w:p>
    <w:p>
      <w:pPr>
        <w:pStyle w:val="BodyText"/>
      </w:pPr>
      <w:r>
        <w:t xml:space="preserve">+28%</w:t>
      </w:r>
    </w:p>
    <w:p>
      <w:pPr>
        <w:pStyle w:val="BodyText"/>
      </w:pPr>
      <w:r>
        <w:t xml:space="preserve">Immigration &amp; Work Permits</w:t>
      </w:r>
    </w:p>
    <w:p>
      <w:pPr>
        <w:pStyle w:val="BodyText"/>
      </w:pPr>
      <w:r>
        <w:t xml:space="preserve">455,000</w:t>
      </w:r>
    </w:p>
    <w:p>
      <w:pPr>
        <w:pStyle w:val="BodyText"/>
      </w:pPr>
      <w:r>
        <w:t xml:space="preserve">% of Total</w:t>
      </w:r>
    </w:p>
    <w:p>
      <w:pPr>
        <w:pStyle w:val="BodyText"/>
      </w:pPr>
      <w:r>
        <w:t xml:space="preserve">Growth vs Q2</w:t>
      </w:r>
    </w:p>
    <w:p>
      <w:pPr>
        <w:pStyle w:val="BodyText"/>
      </w:pPr>
      <w:r>
        <w:t xml:space="preserve">Corporate Compliance (Germany Berlin Focus)</w:t>
      </w:r>
    </w:p>
    <w:p>
      <w:pPr>
        <w:pStyle w:val="BodyText"/>
      </w:pPr>
      <w:r>
        <w:t xml:space="preserve">720,000</w:t>
      </w:r>
    </w:p>
    <w:p>
      <w:pPr>
        <w:pStyle w:val="BodyText"/>
      </w:pPr>
      <w:r>
        <w:t xml:space="preserve">39%</w:t>
      </w:r>
    </w:p>
    <w:p>
      <w:pPr>
        <w:pStyle w:val="BodyText"/>
      </w:pPr>
      <w:r>
        <w:t xml:space="preserve">+28%</w:t>
      </w:r>
    </w:p>
    <w:p>
      <w:pPr>
        <w:pStyle w:val="BodyText"/>
      </w:pPr>
      <w:r>
        <w:t xml:space="preserve">Immigration &amp; Work Permits</w:t>
      </w:r>
    </w:p>
    <w:p>
      <w:pPr>
        <w:pStyle w:val="BodyText"/>
      </w:pPr>
      <w:r>
        <w:t xml:space="preserve">% of Total</w:t>
      </w:r>
    </w:p>
    <w:p>
      <w:pPr>
        <w:pStyle w:val="BodyText"/>
      </w:pPr>
      <w:r>
        <w:t xml:space="preserve">Growth vs Q2</w:t>
      </w:r>
    </w:p>
    <w:p>
      <w:pPr>
        <w:pStyle w:val="BodyText"/>
      </w:pPr>
      <w:r>
        <w:t xml:space="preserve">Corporate Compliance (Germany Berlin Focus)</w:t>
      </w:r>
    </w:p>
    <w:p>
      <w:pPr>
        <w:pStyle w:val="BodyText"/>
      </w:pPr>
      <w:r>
        <w:t xml:space="preserve">720,000</w:t>
      </w:r>
    </w:p>
    <w:p>
      <w:pPr>
        <w:pStyle w:val="BodyText"/>
      </w:pPr>
      <w:r>
        <w:t xml:space="preserve">39%</w:t>
      </w:r>
    </w:p>
    <w:p>
      <w:pPr>
        <w:pStyle w:val="BodyText"/>
      </w:pPr>
      <w:r>
        <w:t xml:space="preserve">+28%</w:t>
      </w:r>
    </w:p>
    <w:p>
      <w:pPr>
        <w:pStyle w:val="BodyText"/>
      </w:pPr>
      <w:r>
        <w:t xml:space="preserve">Immigration &amp; Work Permits</w:t>
      </w:r>
    </w:p>
    <w:bookmarkEnd w:id="22"/>
    <w:bookmarkStart w:id="23" w:name="X0477bee6ecbdb4ae773677f04b1911097f78adf"/>
    <w:p>
      <w:pPr>
        <w:pStyle w:val="Heading3"/>
      </w:pPr>
      <w:r>
        <w:t xml:space="preserve">C. Sales Team Performance (Berlin Operations)</w:t>
      </w:r>
    </w:p>
    <w:p>
      <w:pPr>
        <w:pStyle w:val="FirstParagraph"/>
      </w:pPr>
      <w:r>
        <w:t xml:space="preserve">The Berlin sales team, led by Senior Lawyer Dr. Anja Müller, achieved 112% of Q3 targets through:</w:t>
      </w:r>
    </w:p>
    <w:p>
      <w:pPr>
        <w:numPr>
          <w:ilvl w:val="0"/>
          <w:numId w:val="1002"/>
        </w:numPr>
        <w:pStyle w:val="Compact"/>
      </w:pPr>
      <w:r>
        <w:t xml:space="preserve">Development of specialized outreach programs for Berlin’s startup incubators (e.g., Factory Berlin, Plug and Play)</w:t>
      </w:r>
    </w:p>
    <w:p>
      <w:pPr>
        <w:numPr>
          <w:ilvl w:val="0"/>
          <w:numId w:val="1002"/>
        </w:numPr>
        <w:pStyle w:val="Compact"/>
      </w:pPr>
      <w:r>
        <w:t xml:space="preserve">Participation in 8 industry conferences in Germany Berlin (including LegalTech Europe) generating 117 qualified leads</w:t>
      </w:r>
    </w:p>
    <w:p>
      <w:pPr>
        <w:numPr>
          <w:ilvl w:val="0"/>
          <w:numId w:val="1002"/>
        </w:numPr>
        <w:pStyle w:val="Compact"/>
      </w:pPr>
      <w:r>
        <w:t xml:space="preserve">Implementation of CRM analytics tracking client journey from initial inquiry to contract signing within Berlin’s legal market</w:t>
      </w:r>
    </w:p>
    <w:bookmarkEnd w:id="23"/>
    <w:bookmarkEnd w:id="24"/>
    <w:bookmarkStart w:id="27" w:name="Xbfe6734dc3e6de6a482d080726427db39c669c5"/>
    <w:p>
      <w:pPr>
        <w:pStyle w:val="Heading2"/>
      </w:pPr>
      <w:r>
        <w:t xml:space="preserve">III. Market Analysis: Germany Berlin Context</w:t>
      </w:r>
    </w:p>
    <w:p>
      <w:pPr>
        <w:pStyle w:val="FirstParagraph"/>
      </w:pPr>
      <w:r>
        <w:t xml:space="preserve">Berlin’s status as Germany’s economic and innovation capital drives exceptional demand for specialized legal services. Key trends influencing our sales performance include:</w:t>
      </w:r>
    </w:p>
    <w:bookmarkStart w:id="25" w:name="a.-regulatory-shifts-impacting-demand"/>
    <w:p>
      <w:pPr>
        <w:pStyle w:val="Heading3"/>
      </w:pPr>
      <w:r>
        <w:t xml:space="preserve">A. Regulatory Shifts Impacting Demand</w:t>
      </w:r>
    </w:p>
    <w:p>
      <w:pPr>
        <w:numPr>
          <w:ilvl w:val="0"/>
          <w:numId w:val="1003"/>
        </w:numPr>
        <w:pStyle w:val="Compact"/>
      </w:pPr>
      <w:r>
        <w:rPr>
          <w:bCs/>
          <w:b/>
        </w:rPr>
        <w:t xml:space="preserve">EU AI Act Implementation (July 2023):</w:t>
      </w:r>
      <w:r>
        <w:t xml:space="preserve"> </w:t>
      </w:r>
      <w:r>
        <w:t xml:space="preserve">Created urgent need for corporate compliance counsel – 78% of new Corporate Compliance clients cited this as primary driver.</w:t>
      </w:r>
    </w:p>
    <w:p>
      <w:pPr>
        <w:numPr>
          <w:ilvl w:val="0"/>
          <w:numId w:val="1003"/>
        </w:numPr>
        <w:pStyle w:val="Compact"/>
      </w:pPr>
      <w:r>
        <w:rPr>
          <w:bCs/>
          <w:b/>
        </w:rPr>
        <w:t xml:space="preserve">Berlin’s Startup Visa Program:</w:t>
      </w:r>
      <w:r>
        <w:t xml:space="preserve"> </w:t>
      </w:r>
      <w:r>
        <w:t xml:space="preserve">Generated 43% of our immigration cases from Q3, with companies like N26 and Zalando expanding their German operations.</w:t>
      </w:r>
    </w:p>
    <w:bookmarkEnd w:id="25"/>
    <w:bookmarkStart w:id="26" w:name="b.-competitive-differentiation"/>
    <w:p>
      <w:pPr>
        <w:pStyle w:val="Heading3"/>
      </w:pPr>
      <w:r>
        <w:t xml:space="preserve">B. Competitive Differentiation</w:t>
      </w:r>
    </w:p>
    <w:p>
      <w:pPr>
        <w:pStyle w:val="FirstParagraph"/>
      </w:pPr>
      <w:r>
        <w:t xml:space="preserve">Our distinct advantage as a Berlin-based law firm includes:</w:t>
      </w:r>
    </w:p>
    <w:p>
      <w:pPr>
        <w:numPr>
          <w:ilvl w:val="0"/>
          <w:numId w:val="1004"/>
        </w:numPr>
        <w:pStyle w:val="Compact"/>
      </w:pPr>
      <w:r>
        <w:rPr>
          <w:bCs/>
          <w:b/>
        </w:rPr>
        <w:t xml:space="preserve">Local Regulatory Knowledge:</w:t>
      </w:r>
      <w:r>
        <w:t xml:space="preserve"> </w:t>
      </w:r>
      <w:r>
        <w:t xml:space="preserve">Deep understanding of Berlin Senate business regulations and district-specific legal requirements (e.g., Charlottenburg-Wilmersdorf vs. Friedrichshain)</w:t>
      </w:r>
    </w:p>
    <w:p>
      <w:pPr>
        <w:numPr>
          <w:ilvl w:val="0"/>
          <w:numId w:val="1004"/>
        </w:numPr>
        <w:pStyle w:val="Compact"/>
      </w:pPr>
      <w:r>
        <w:rPr>
          <w:bCs/>
          <w:b/>
        </w:rPr>
        <w:t xml:space="preserve">Language &amp; Cultural Fluency:</w:t>
      </w:r>
      <w:r>
        <w:t xml:space="preserve"> </w:t>
      </w:r>
      <w:r>
        <w:t xml:space="preserve">All Lawyer teams provide services in German and English, crucial for multinational clients</w:t>
      </w:r>
    </w:p>
    <w:p>
      <w:pPr>
        <w:numPr>
          <w:ilvl w:val="0"/>
          <w:numId w:val="1004"/>
        </w:numPr>
        <w:pStyle w:val="Compact"/>
      </w:pPr>
      <w:r>
        <w:rPr>
          <w:bCs/>
          <w:b/>
        </w:rPr>
        <w:t xml:space="preserve">Predictive Legal Analytics:</w:t>
      </w:r>
      <w:r>
        <w:t xml:space="preserve"> </w:t>
      </w:r>
      <w:r>
        <w:t xml:space="preserve">Our Berlin office pioneered a proprietary tool forecasting regulatory changes affecting client operations</w:t>
      </w:r>
    </w:p>
    <w:bookmarkEnd w:id="26"/>
    <w:bookmarkEnd w:id="27"/>
    <w:bookmarkStart w:id="28" w:name="iv.-challenges-strategic-response"/>
    <w:p>
      <w:pPr>
        <w:pStyle w:val="Heading2"/>
      </w:pPr>
      <w:r>
        <w:t xml:space="preserve">IV. Challenges &amp; Strategic Response</w:t>
      </w:r>
    </w:p>
    <w:p>
      <w:pPr>
        <w:pStyle w:val="FirstParagraph"/>
      </w:pPr>
      <w:r>
        <w:t xml:space="preserve">We encountered three significant challenges in Germany Berlin during Q3:</w:t>
      </w:r>
    </w:p>
    <w:p>
      <w:pPr>
        <w:numPr>
          <w:ilvl w:val="0"/>
          <w:numId w:val="1005"/>
        </w:numPr>
        <w:pStyle w:val="Compact"/>
      </w:pPr>
      <w:r>
        <w:rPr>
          <w:bCs/>
          <w:b/>
        </w:rPr>
        <w:t xml:space="preserve">Talent Acquisition:</w:t>
      </w:r>
      <w:r>
        <w:t xml:space="preserve"> </w:t>
      </w:r>
      <w:r>
        <w:t xml:space="preserve">High competition for specialized Lawyer talent in Berlin led to 4-week hiring delays. *Response:* Partnered with Humboldt University’s legal department for targeted recruitment.</w:t>
      </w:r>
    </w:p>
    <w:p>
      <w:pPr>
        <w:numPr>
          <w:ilvl w:val="0"/>
          <w:numId w:val="1005"/>
        </w:numPr>
        <w:pStyle w:val="Compact"/>
      </w:pPr>
      <w:r>
        <w:rPr>
          <w:bCs/>
          <w:b/>
        </w:rPr>
        <w:t xml:space="preserve">Client Budget Constraints:</w:t>
      </w:r>
      <w:r>
        <w:t xml:space="preserve"> </w:t>
      </w:r>
      <w:r>
        <w:t xml:space="preserve">22% of prospects delayed decisions due to economic uncertainty. *Response:* Introduced flexible payment plans and "compliance health checks" as low-cost entry points.</w:t>
      </w:r>
    </w:p>
    <w:p>
      <w:pPr>
        <w:numPr>
          <w:ilvl w:val="0"/>
          <w:numId w:val="1005"/>
        </w:numPr>
        <w:pStyle w:val="Compact"/>
      </w:pPr>
      <w:r>
        <w:rPr>
          <w:bCs/>
          <w:b/>
        </w:rPr>
        <w:t xml:space="preserve">Regulatory Complexity:</w:t>
      </w:r>
      <w:r>
        <w:t xml:space="preserve"> </w:t>
      </w:r>
      <w:r>
        <w:t xml:space="preserve">Multiple German state-level variations in data laws. *Response:* Created Berlin-specific compliance playbooks for 12 key industry sectors.</w:t>
      </w:r>
    </w:p>
    <w:bookmarkEnd w:id="28"/>
    <w:bookmarkStart w:id="29" w:name="v.-sales-strategy-recommendations"/>
    <w:p>
      <w:pPr>
        <w:pStyle w:val="Heading2"/>
      </w:pPr>
      <w:r>
        <w:t xml:space="preserve">V. Sales Strategy Recommendations</w:t>
      </w:r>
    </w:p>
    <w:p>
      <w:pPr>
        <w:pStyle w:val="FirstParagraph"/>
      </w:pPr>
      <w:r>
        <w:t xml:space="preserve">Based on Q3 performance, we recommend the following for Q4 2023:</w:t>
      </w:r>
    </w:p>
    <w:p>
      <w:pPr>
        <w:numPr>
          <w:ilvl w:val="0"/>
          <w:numId w:val="1006"/>
        </w:numPr>
        <w:pStyle w:val="Compact"/>
      </w:pPr>
      <w:r>
        <w:rPr>
          <w:bCs/>
          <w:b/>
        </w:rPr>
        <w:t xml:space="preserve">Expand Immigration Focus:</w:t>
      </w:r>
      <w:r>
        <w:t xml:space="preserve"> </w:t>
      </w:r>
      <w:r>
        <w:t xml:space="preserve">Develop specialized service package for Berlin’s "Tech Visa" applicants targeting Silicon Allee startups.</w:t>
      </w:r>
    </w:p>
    <w:p>
      <w:pPr>
        <w:numPr>
          <w:ilvl w:val="0"/>
          <w:numId w:val="1006"/>
        </w:numPr>
        <w:pStyle w:val="Compact"/>
      </w:pPr>
      <w:r>
        <w:rPr>
          <w:bCs/>
          <w:b/>
        </w:rPr>
        <w:t xml:space="preserve">Leverage Berlin Branding:</w:t>
      </w:r>
      <w:r>
        <w:t xml:space="preserve"> </w:t>
      </w:r>
      <w:r>
        <w:t xml:space="preserve">Launch "Berlin Legal Advantage" campaign highlighting our city-specific expertise in all marketing materials.</w:t>
      </w:r>
    </w:p>
    <w:p>
      <w:pPr>
        <w:numPr>
          <w:ilvl w:val="0"/>
          <w:numId w:val="1006"/>
        </w:numPr>
        <w:pStyle w:val="Compact"/>
      </w:pPr>
      <w:r>
        <w:rPr>
          <w:bCs/>
          <w:b/>
        </w:rPr>
        <w:t xml:space="preserve">Enhance Digital Sales:</w:t>
      </w:r>
      <w:r>
        <w:t xml:space="preserve"> </w:t>
      </w:r>
      <w:r>
        <w:t xml:space="preserve">Implement AI chatbot for initial client consultations addressing common Germany Berlin regulatory questions 24/7.</w:t>
      </w:r>
    </w:p>
    <w:bookmarkEnd w:id="29"/>
    <w:bookmarkStart w:id="30" w:name="vi.-conclusion"/>
    <w:p>
      <w:pPr>
        <w:pStyle w:val="Heading2"/>
      </w:pPr>
      <w:r>
        <w:t xml:space="preserve">VI. Conclusion</w:t>
      </w:r>
    </w:p>
    <w:p>
      <w:pPr>
        <w:pStyle w:val="FirstParagraph"/>
      </w:pPr>
      <w:r>
        <w:t xml:space="preserve">This Sales Report confirms [Firm Name]’s leadership position in the Germany Berlin legal market. Our strategic focus on Berlin’s unique economic ecosystem and tailored Lawyer expertise has driven exceptional growth, with revenue growth exceeding industry benchmarks by 19%. As we enter Q4, our commitment to delivering localized legal solutions within Germany Berlin remains central to our sales strategy. The demand for a trusted Lawyer who understands both the regulatory intricacies of Germany and the entrepreneurial pulse of Berlin is intensifying – making this market not just a geographic focus, but a strategic imperative for our firm’s global expansion.</w:t>
      </w:r>
    </w:p>
    <w:p>
      <w:pPr>
        <w:pStyle w:val="BodyText"/>
      </w:pPr>
      <w:r>
        <w:t xml:space="preserve">Looking ahead, we will maintain our premium service positioning while scaling operations to meet the escalating demand from businesses choosing Germany Berlin as their European headquarters. The success achieved in Q3 demonstrates that when legal expertise is fused with hyper-local market intelligence – as delivered by our Lawyer team in Berlin – sustainable growth becomes inevitable.</w:t>
      </w:r>
    </w:p>
    <w:p>
      <w:pPr>
        <w:pStyle w:val="BodyText"/>
      </w:pPr>
      <w:r>
        <w:rPr>
          <w:bCs/>
          <w:b/>
        </w:rPr>
        <w:t xml:space="preserve">Prepared By:</w:t>
      </w:r>
      <w:r>
        <w:t xml:space="preserve"> </w:t>
      </w:r>
      <w:r>
        <w:t xml:space="preserve">[Name], Head of Sales, Germany Berlin Office</w:t>
      </w:r>
      <w:r>
        <w:br/>
      </w:r>
      <w:r>
        <w:rPr>
          <w:bCs/>
          <w:b/>
        </w:rPr>
        <w:t xml:space="preserve">Firm Name:</w:t>
      </w:r>
      <w:r>
        <w:t xml:space="preserve"> </w:t>
      </w:r>
      <w:r>
        <w:t xml:space="preserve">[Firm Name] - Legal Excellence Since 1995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Legal Services Performance in Germany Berlin</dc:title>
  <dc:creator/>
  <dc:language>en</dc:language>
  <cp:keywords/>
  <dcterms:created xsi:type="dcterms:W3CDTF">2026-07-23T17:10:44Z</dcterms:created>
  <dcterms:modified xsi:type="dcterms:W3CDTF">2026-07-23T17:10:44Z</dcterms:modified>
</cp:coreProperties>
</file>

<file path=docProps/custom.xml><?xml version="1.0" encoding="utf-8"?>
<Properties xmlns="http://schemas.openxmlformats.org/officeDocument/2006/custom-properties" xmlns:vt="http://schemas.openxmlformats.org/officeDocument/2006/docPropsVTypes"/>
</file>