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7" w:name="X92cd188b248b3bd3049e09b3aaa1c77bf3f732d"/>
    <w:p>
      <w:pPr>
        <w:pStyle w:val="Heading1"/>
      </w:pPr>
      <w:r>
        <w:t xml:space="preserve">Sales Report: Comprehensive Analysis of Legal Service Performance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Frankfurt Legal Partners</w:t>
      </w:r>
      <w:r>
        <w:br/>
      </w:r>
      <w:r>
        <w:rPr>
          <w:bCs/>
          <w:b/>
        </w:rPr>
        <w:t xml:space="preserve">Prepared By:</w:t>
      </w:r>
      <w:r>
        <w:t xml:space="preserve"> </w:t>
      </w:r>
      <w:r>
        <w:t xml:space="preserve">Sales Performance Division</w:t>
      </w:r>
    </w:p>
    <w:bookmarkStart w:id="20" w:name="i.-executive-summary"/>
    <w:p>
      <w:pPr>
        <w:pStyle w:val="Heading2"/>
      </w:pPr>
      <w:r>
        <w:t xml:space="preserve">I. Executive Summary</w:t>
      </w:r>
    </w:p>
    <w:p>
      <w:pPr>
        <w:pStyle w:val="FirstParagraph"/>
      </w:pPr>
      <w:r>
        <w:t xml:space="preserve">This comprehensive Sales Report analyzes the performance of our legal services across Germany's premier business hub, Frankfurt am Main. The report demonstrates exceptional growth in client acquisition and revenue generation, directly attributable to our strategic positioning as a leading international Law firm within Germany Frankfurt's dynamic legal landscape. Our sales team has successfully expanded market share by 23% year-over-year through targeted approaches that resonate with Frankfurt's unique commercial ecosystem. This document serves as both an operational review and strategic roadmap for sustaining momentum in one of Europe's most competitive legal markets.</w:t>
      </w:r>
    </w:p>
    <w:bookmarkEnd w:id="20"/>
    <w:bookmarkStart w:id="21" w:name="X4d193935325d13c1860404a2073b55821227ca1"/>
    <w:p>
      <w:pPr>
        <w:pStyle w:val="Heading2"/>
      </w:pPr>
      <w:r>
        <w:t xml:space="preserve">II. Market Context: Germany Frankfurt Legal Environment</w:t>
      </w:r>
    </w:p>
    <w:p>
      <w:pPr>
        <w:pStyle w:val="FirstParagraph"/>
      </w:pPr>
      <w:r>
        <w:t xml:space="preserve">Frankfurt, serving as Germany's financial capital and host to the European Central Bank, presents unparalleled opportunities for specialized legal services. The city hosts over 40% of Germany's top-tier law firms and is home to 58% of the DAX 30 companies. Our analysis confirms that corporate clients in Germany Frankfurt prioritize three critical factors: jurisdictional expertise (particularly in German commercial law), multilingual capabilities, and regional market intelligence. The Sales Report indicates that these requirements directly influence engagement decisions for any Lawyer operating within Frankfurt's competitive sphere.</w:t>
      </w:r>
    </w:p>
    <w:p>
      <w:pPr>
        <w:pStyle w:val="BodyText"/>
      </w:pPr>
      <w:r>
        <w:t xml:space="preserve">Notably, our firm has capitalized on Frankfurt's status as Germany's primary M&amp;A hub, where cross-border transactions increased by 37% in 2023. This trend has significantly elevated demand for sophisticated legal counsel. The Sales Report further reveals that clients specifically seek Lawyer firms with deep Frankfurt connections—demonstrating institutional knowledge of local regulations and court procedures that non-local firms lack.</w:t>
      </w:r>
    </w:p>
    <w:bookmarkEnd w:id="21"/>
    <w:bookmarkStart w:id="22" w:name="iii.-sales-performance-metrics-q3-2023"/>
    <w:p>
      <w:pPr>
        <w:pStyle w:val="Heading2"/>
      </w:pPr>
      <w:r>
        <w:t xml:space="preserve">III. Sales Performance Metrics (Q3 2023)</w:t>
      </w:r>
    </w:p>
    <w:p>
      <w:pPr>
        <w:pStyle w:val="FirstParagraph"/>
      </w:pPr>
      <w:r>
        <w:t xml:space="preserve">Our Frankfurt-based sales operations achieved remarkable results during the third quarter, with total revenue reaching €14.8 million—a 19% increase from Q2 and 35% above Q3 2022. The following key metrics underscore our success:</w:t>
      </w:r>
    </w:p>
    <w:p>
      <w:pPr>
        <w:numPr>
          <w:ilvl w:val="0"/>
          <w:numId w:val="1001"/>
        </w:numPr>
        <w:pStyle w:val="Compact"/>
      </w:pPr>
      <w:r>
        <w:rPr>
          <w:bCs/>
          <w:b/>
        </w:rPr>
        <w:t xml:space="preserve">Client Acquisition Rate:</w:t>
      </w:r>
      <w:r>
        <w:t xml:space="preserve"> </w:t>
      </w:r>
      <w:r>
        <w:t xml:space="preserve">+41% YoY in new corporate clients (primarily financial institutions and multinational corporations headquartered in Germany Frankfurt)</w:t>
      </w:r>
    </w:p>
    <w:p>
      <w:pPr>
        <w:numPr>
          <w:ilvl w:val="0"/>
          <w:numId w:val="1001"/>
        </w:numPr>
        <w:pStyle w:val="Compact"/>
      </w:pPr>
      <w:r>
        <w:rPr>
          <w:bCs/>
          <w:b/>
        </w:rPr>
        <w:t xml:space="preserve">Sales Conversion Rate:</w:t>
      </w:r>
      <w:r>
        <w:t xml:space="preserve"> </w:t>
      </w:r>
      <w:r>
        <w:t xml:space="preserve">68% for lead-to-client conversion, significantly above the industry benchmark of 52%</w:t>
      </w:r>
    </w:p>
    <w:p>
      <w:pPr>
        <w:numPr>
          <w:ilvl w:val="0"/>
          <w:numId w:val="1001"/>
        </w:numPr>
        <w:pStyle w:val="Compact"/>
      </w:pPr>
      <w:r>
        <w:rPr>
          <w:bCs/>
          <w:b/>
        </w:rPr>
        <w:t xml:space="preserve">Client Retention Rate:</w:t>
      </w:r>
      <w:r>
        <w:t xml:space="preserve"> </w:t>
      </w:r>
      <w:r>
        <w:t xml:space="preserve">94% (attributed to our localized service model in Germany Frankfurt)</w:t>
      </w:r>
    </w:p>
    <w:p>
      <w:pPr>
        <w:numPr>
          <w:ilvl w:val="0"/>
          <w:numId w:val="1001"/>
        </w:numPr>
        <w:pStyle w:val="Compact"/>
      </w:pPr>
      <w:r>
        <w:rPr>
          <w:bCs/>
          <w:b/>
        </w:rPr>
        <w:t xml:space="preserve">Sales Cycle Duration:</w:t>
      </w:r>
      <w:r>
        <w:t xml:space="preserve"> </w:t>
      </w:r>
      <w:r>
        <w:t xml:space="preserve">Reduced by 28 days through optimized digital engagement tools tailored for German business practices</w:t>
      </w:r>
    </w:p>
    <w:p>
      <w:pPr>
        <w:pStyle w:val="FirstParagraph"/>
      </w:pPr>
      <w:r>
        <w:t xml:space="preserve">This performance directly reflects our strategic focus on positioning every Lawyer within the Frankfurt office as a local market specialist. Our sales team no longer markets generic legal services but rather "Frankfurt-anchored legal solutions" that address jurisdiction-specific challenges in Germany's most complex business environment.</w:t>
      </w:r>
    </w:p>
    <w:bookmarkEnd w:id="22"/>
    <w:bookmarkStart w:id="23" w:name="X8294bff715ca0ae731a2e0b28103bdc36d0619a"/>
    <w:p>
      <w:pPr>
        <w:pStyle w:val="Heading2"/>
      </w:pPr>
      <w:r>
        <w:t xml:space="preserve">IV. Strategic Differentiation: Why Clients Choose Our Lawyer Services in Germany Frankfurt</w:t>
      </w:r>
    </w:p>
    <w:p>
      <w:pPr>
        <w:pStyle w:val="FirstParagraph"/>
      </w:pPr>
      <w:r>
        <w:t xml:space="preserve">The Sales Report identifies three critical differentiators driving client preference for our firm:</w:t>
      </w:r>
    </w:p>
    <w:p>
      <w:pPr>
        <w:numPr>
          <w:ilvl w:val="0"/>
          <w:numId w:val="1002"/>
        </w:numPr>
        <w:pStyle w:val="Compact"/>
      </w:pPr>
      <w:r>
        <w:rPr>
          <w:bCs/>
          <w:b/>
        </w:rPr>
        <w:t xml:space="preserve">Hyper-Local Market Intelligence:</w:t>
      </w:r>
      <w:r>
        <w:t xml:space="preserve"> </w:t>
      </w:r>
      <w:r>
        <w:t xml:space="preserve">Our Frankfurt-based Lawyer team maintains real-time knowledge of regional regulatory shifts (e.g., BaFin compliance updates, Frankfurt Stock Exchange regulations). Sales data shows 73% of new clients cited this as their primary selection criterion.</w:t>
      </w:r>
    </w:p>
    <w:p>
      <w:pPr>
        <w:numPr>
          <w:ilvl w:val="0"/>
          <w:numId w:val="1002"/>
        </w:numPr>
        <w:pStyle w:val="Compact"/>
      </w:pPr>
      <w:r>
        <w:rPr>
          <w:bCs/>
          <w:b/>
        </w:rPr>
        <w:t xml:space="preserve">Cultural Integration:</w:t>
      </w:r>
      <w:r>
        <w:t xml:space="preserve"> </w:t>
      </w:r>
      <w:r>
        <w:t xml:space="preserve">Unlike international firms with "Frankfurt offices," we've embedded our sales and legal teams within the city's professional network. Our Lawyer consultants attend local industry events (e.g., Frankfurt FinTech Week, DAX Corporate Governance Summit) to build organic trust—a strategy directly impacting sales conversion rates.</w:t>
      </w:r>
    </w:p>
    <w:p>
      <w:pPr>
        <w:numPr>
          <w:ilvl w:val="0"/>
          <w:numId w:val="1002"/>
        </w:numPr>
        <w:pStyle w:val="Compact"/>
      </w:pPr>
      <w:r>
        <w:rPr>
          <w:bCs/>
          <w:b/>
        </w:rPr>
        <w:t xml:space="preserve">Technology-Driven Client Experience:</w:t>
      </w:r>
      <w:r>
        <w:t xml:space="preserve"> </w:t>
      </w:r>
      <w:r>
        <w:t xml:space="preserve">We deployed a German-language client portal with integrated tax compliance tools, reducing onboarding time by 50%. The Sales Report notes that 89% of clients in Germany Frankfurt preferred this localized digital experience over competitors' standard platforms.</w:t>
      </w:r>
    </w:p>
    <w:p>
      <w:pPr>
        <w:pStyle w:val="FirstParagraph"/>
      </w:pPr>
      <w:r>
        <w:t xml:space="preserve">The data confirms that when selecting a Lawyer for Germany Frankfurt operations, corporate decision-makers prioritize "local presence" over "global reach." Our sales metrics validate this preference, with clients actively requesting to meet our Frankfurt-based Lawyer team during pitch presentations—a clear advantage we've leveraged in competitive bids.</w:t>
      </w:r>
    </w:p>
    <w:bookmarkEnd w:id="23"/>
    <w:bookmarkStart w:id="24" w:name="Xf48a0544ec47e9df55c752a4af18b97cbbc8848"/>
    <w:p>
      <w:pPr>
        <w:pStyle w:val="Heading2"/>
      </w:pPr>
      <w:r>
        <w:t xml:space="preserve">V. Regional Market Challenges &amp; Sales Adaptation</w:t>
      </w:r>
    </w:p>
    <w:p>
      <w:pPr>
        <w:pStyle w:val="FirstParagraph"/>
      </w:pPr>
      <w:r>
        <w:t xml:space="preserve">While Germany Frankfurt offers immense opportunity, the Sales Report identifies two significant challenges requiring strategic sales adjustments:</w:t>
      </w:r>
    </w:p>
    <w:p>
      <w:pPr>
        <w:numPr>
          <w:ilvl w:val="0"/>
          <w:numId w:val="1003"/>
        </w:numPr>
        <w:pStyle w:val="Compact"/>
      </w:pPr>
      <w:r>
        <w:rPr>
          <w:bCs/>
          <w:b/>
        </w:rPr>
        <w:t xml:space="preserve">Regulatory Complexity:</w:t>
      </w:r>
      <w:r>
        <w:t xml:space="preserve"> </w:t>
      </w:r>
      <w:r>
        <w:t xml:space="preserve">German labor law and data protection regulations (GDPR) require nuanced understanding. Our sales team now includes dedicated compliance specialists who consult during initial client discussions—reducing post-engagement scope disputes by 62%.</w:t>
      </w:r>
    </w:p>
    <w:p>
      <w:pPr>
        <w:numPr>
          <w:ilvl w:val="0"/>
          <w:numId w:val="1003"/>
        </w:numPr>
        <w:pStyle w:val="Compact"/>
      </w:pPr>
      <w:r>
        <w:rPr>
          <w:bCs/>
          <w:b/>
        </w:rPr>
        <w:t xml:space="preserve">Competitive Pressure:</w:t>
      </w:r>
      <w:r>
        <w:t xml:space="preserve"> </w:t>
      </w:r>
      <w:r>
        <w:t xml:space="preserve">Traditional Berlin-based firms have intensified competition. We countered this by developing a Frankfurt-specific "Market Entry Package" targeting new multinational clients, which increased sales in this segment by 31%.</w:t>
      </w:r>
    </w:p>
    <w:p>
      <w:pPr>
        <w:pStyle w:val="FirstParagraph"/>
      </w:pPr>
      <w:r>
        <w:t xml:space="preserve">Crucially, our sales strategy avoids competing on price in Germany Frankfurt—instead emphasizing value through specialized expertise. The Sales Report demonstrates that premium pricing (15% above market average) is accepted when justified by localized results, with clients acknowledging the ROI from our Frankfurt-focused Lawyer services.</w:t>
      </w:r>
    </w:p>
    <w:bookmarkEnd w:id="24"/>
    <w:bookmarkStart w:id="25" w:name="X4cbb1d0d77b0b2f3caeb81a1096971de6668130"/>
    <w:p>
      <w:pPr>
        <w:pStyle w:val="Heading2"/>
      </w:pPr>
      <w:r>
        <w:t xml:space="preserve">VI. Future Sales Strategy: Capitalizing on Germany Frankfurt's Growth Trajectory</w:t>
      </w:r>
    </w:p>
    <w:p>
      <w:pPr>
        <w:pStyle w:val="FirstParagraph"/>
      </w:pPr>
      <w:r>
        <w:t xml:space="preserve">Based on current market indicators, we recommend three initiatives to sustain our sales momentum:</w:t>
      </w:r>
    </w:p>
    <w:p>
      <w:pPr>
        <w:numPr>
          <w:ilvl w:val="0"/>
          <w:numId w:val="1004"/>
        </w:numPr>
        <w:pStyle w:val="Compact"/>
      </w:pPr>
      <w:r>
        <w:rPr>
          <w:bCs/>
          <w:b/>
        </w:rPr>
        <w:t xml:space="preserve">Expand Frankfurt Legal Practice Groups:</w:t>
      </w:r>
      <w:r>
        <w:t xml:space="preserve"> </w:t>
      </w:r>
      <w:r>
        <w:t xml:space="preserve">Allocate 30% of new Lawyer hires exclusively to Frankfurt operations in 2024, focusing on insolvency law and ESG compliance—segments projected to grow 28% annually in Germany's financial hub.</w:t>
      </w:r>
    </w:p>
    <w:p>
      <w:pPr>
        <w:numPr>
          <w:ilvl w:val="0"/>
          <w:numId w:val="1004"/>
        </w:numPr>
        <w:pStyle w:val="Compact"/>
      </w:pPr>
      <w:r>
        <w:rPr>
          <w:bCs/>
          <w:b/>
        </w:rPr>
        <w:t xml:space="preserve">Launch "Frankfurt Legal Intelligence" Subscription:</w:t>
      </w:r>
      <w:r>
        <w:t xml:space="preserve"> </w:t>
      </w:r>
      <w:r>
        <w:t xml:space="preserve">A monthly report on regional regulatory trends for existing clients, priced at €15,000/year. Sales simulations indicate potential €2.4M in incremental revenue within 18 months.</w:t>
      </w:r>
    </w:p>
    <w:p>
      <w:pPr>
        <w:numPr>
          <w:ilvl w:val="0"/>
          <w:numId w:val="1004"/>
        </w:numPr>
        <w:pStyle w:val="Compact"/>
      </w:pPr>
      <w:r>
        <w:rPr>
          <w:iCs/>
          <w:i/>
        </w:rPr>
        <w:t xml:space="preserve">Prioritize DAX Client Penetration:</w:t>
      </w:r>
      <w:r>
        <w:t xml:space="preserve"> </w:t>
      </w:r>
      <w:r>
        <w:t xml:space="preserve">Target the top 20 DAX companies with dedicated sales accounts (currently at 38% penetration). The Sales Report shows these clients generate 67% of our revenue and have a 4.7x higher lifetime value.</w:t>
      </w:r>
    </w:p>
    <w:bookmarkEnd w:id="25"/>
    <w:bookmarkStart w:id="26" w:name="vii.-conclusion-the-frankfurt-advantage"/>
    <w:p>
      <w:pPr>
        <w:pStyle w:val="Heading2"/>
      </w:pPr>
      <w:r>
        <w:t xml:space="preserve">VII. Conclusion: The Frankfurt Advantage</w:t>
      </w:r>
    </w:p>
    <w:p>
      <w:pPr>
        <w:pStyle w:val="FirstParagraph"/>
      </w:pPr>
      <w:r>
        <w:t xml:space="preserve">This Sales Report unequivocally demonstrates that our success in Germany Frankfurt stems from treating the city not as an office location but as the central operational hub for our legal services. Every Lawyer at Frankfurt Legal Partners is positioned to deliver market-specific expertise, transforming how corporate clients perceive legal representation in Germany's most critical business center.</w:t>
      </w:r>
    </w:p>
    <w:p>
      <w:pPr>
        <w:pStyle w:val="BodyText"/>
      </w:pPr>
      <w:r>
        <w:t xml:space="preserve">As we enter 2024, our sales strategy will deepen our Frankfurt-centric approach—recognizing that in Germany's legal marketplace, proximity equals proficiency. The data is clear: Clients don't just hire a Lawyer; they engage a Frankfurt-based partner who understands the city's unique commercial rhythms. This Sales Report confirms that by embedding our firm within Germany Frankfurt's ecosystem, we've created an unassailable competitive advantage that drives consistent revenue growth and market leadership.</w:t>
      </w:r>
    </w:p>
    <w:p>
      <w:pPr>
        <w:pStyle w:val="BodyText"/>
      </w:pPr>
      <w:r>
        <w:t xml:space="preserve">Recommendation: Approve 2024 budget allocation of €3.7 million for Frankfurt-specific sales initiatives to accelerate market capture in Germany's financial capital. The anticipated ROI exceeds 210% within three years, directly supporting our global expansion strategy through the Frankfurt nexus.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Performance in Germany Frankfurt</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