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Munich,</w:t>
      </w:r>
      <w:r>
        <w:t xml:space="preserve"> </w:t>
      </w:r>
      <w:r>
        <w:t xml:space="preserve">Germany</w:t>
      </w:r>
    </w:p>
    <w:bookmarkStart w:id="26" w:name="X90313d1e3e45ec5cf10af453175bc54af3bbd82"/>
    <w:p>
      <w:pPr>
        <w:pStyle w:val="Heading1"/>
      </w:pPr>
      <w:r>
        <w:t xml:space="preserve">Sales Report: Strategic Growth Analysis of Legal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Scope:</w:t>
      </w:r>
      <w:r>
        <w:t xml:space="preserve"> </w:t>
      </w:r>
      <w:r>
        <w:t xml:space="preserve">All legal service divisions operating within Munich, Germany</w:t>
      </w:r>
    </w:p>
    <w:bookmarkStart w:id="20" w:name="i.-executive-summary"/>
    <w:p>
      <w:pPr>
        <w:pStyle w:val="Heading2"/>
      </w:pPr>
      <w:r>
        <w:t xml:space="preserve">I. Executive Summary</w:t>
      </w:r>
    </w:p>
    <w:p>
      <w:pPr>
        <w:pStyle w:val="FirstParagraph"/>
      </w:pPr>
      <w:r>
        <w:t xml:space="preserve">This comprehensive Sales Report details the performance trajectory of our legal practice in Germany Munich during Q3 2023. As a premier law firm serving the dynamic business ecosystem of Bavaria's capital, we have achieved remarkable growth across all service verticals. The Munich office has demonstrated exceptional client acquisition rates (+18% YoY) and case conversion metrics, solidifying its position as a market leader in German legal services. This report validates that strategic specialization in high-demand practice areas—particularly corporate law and international trade compliance—has yielded optimal results for our lawyer network operating across Germany Munich. The data underscores that our integrated approach to legal solutions directly aligns with the evolving needs of Munich's economic landscape.</w:t>
      </w:r>
    </w:p>
    <w:bookmarkEnd w:id="20"/>
    <w:bookmarkStart w:id="21" w:name="X1e57bf43eae66aeb35679eef4536560e29a6fd0"/>
    <w:p>
      <w:pPr>
        <w:pStyle w:val="Heading2"/>
      </w:pPr>
      <w:r>
        <w:t xml:space="preserve">II. Market Context: Germany Munich as a Strategic Hub</w:t>
      </w:r>
    </w:p>
    <w:p>
      <w:pPr>
        <w:pStyle w:val="FirstParagraph"/>
      </w:pPr>
      <w:r>
        <w:t xml:space="preserve">Munich represents more than just a location—it is the nerve center of Germany's economic engine. With 17% of DAX-listed companies headquartered here and thriving tech startups (including 40+ unicorns in the region), Munich demands sophisticated legal expertise. Our Sales Report confirms that client acquisition in Germany Munich surged by 22% compared to Q3 2022, driven by our lawyer team's deep understanding of local regulations and cross-border business complexities. The city's unique blend of traditional industries (automotive, engineering) and digital innovation creates specialized demand where only a locally embedded lawyer network can thrive. Notably, Munich-based clients now represent 68% of our total Germany revenue—evidence that hyper-localized legal services are the cornerstone of success in this market.</w:t>
      </w:r>
    </w:p>
    <w:bookmarkEnd w:id="21"/>
    <w:bookmarkStart w:id="22" w:name="Xd35b2adfb95d4f26bb042e908643304eca9b8e8"/>
    <w:p>
      <w:pPr>
        <w:pStyle w:val="Heading2"/>
      </w:pPr>
      <w:r>
        <w:t xml:space="preserve">III. Sales Performance Analysis: Key Metrics</w:t>
      </w:r>
    </w:p>
    <w:p>
      <w:pPr>
        <w:pStyle w:val="FirstParagraph"/>
      </w:pPr>
      <w:r>
        <w:rPr>
          <w:iCs/>
          <w:i/>
        </w:rPr>
        <w:t xml:space="preserve">3-Month Summary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Client Acquisition Rate</w:t>
            </w:r>
          </w:p>
        </w:tc>
      </w:tr>
      <w:tr>
        <w:tc>
          <w:tcPr/>
          <w:p>
            <w:pPr>
              <w:pStyle w:val="Compact"/>
              <w:jc w:val="left"/>
            </w:pPr>
            <w:r>
              <w:t xml:space="preserve">Corporate &amp; M&amp;A Law</w:t>
            </w:r>
          </w:p>
        </w:tc>
        <w:tc>
          <w:tcPr/>
          <w:p>
            <w:pPr>
              <w:pStyle w:val="Compact"/>
              <w:jc w:val="left"/>
            </w:pPr>
            <w:r>
              <w:t xml:space="preserve">1,240,000</w:t>
            </w:r>
          </w:p>
        </w:tc>
        <w:tc>
          <w:tcPr/>
          <w:p>
            <w:pPr>
              <w:pStyle w:val="Compact"/>
              <w:jc w:val="left"/>
            </w:pPr>
            <w:r>
              <w:t xml:space="preserve">+27%</w:t>
            </w:r>
          </w:p>
        </w:tc>
        <w:tc>
          <w:tcPr/>
          <w:p>
            <w:pPr>
              <w:pStyle w:val="Compact"/>
              <w:jc w:val="left"/>
            </w:pPr>
            <w:r>
              <w:t xml:space="preserve">35%</w:t>
            </w:r>
          </w:p>
        </w:tc>
      </w:tr>
      <w:tr>
        <w:tc>
          <w:tcPr/>
          <w:p>
            <w:pPr>
              <w:pStyle w:val="Compact"/>
              <w:jc w:val="left"/>
            </w:pPr>
            <w:r>
              <w:t xml:space="preserve">International Trade Compliance</w:t>
            </w:r>
          </w:p>
        </w:tc>
        <w:tc>
          <w:tcPr/>
          <w:p>
            <w:pPr>
              <w:pStyle w:val="Compact"/>
              <w:jc w:val="left"/>
            </w:pPr>
            <w:r>
              <w:t xml:space="preserve">985,500</w:t>
            </w:r>
          </w:p>
        </w:tc>
        <w:tc>
          <w:tcPr/>
          <w:p>
            <w:pPr>
              <w:pStyle w:val="Compact"/>
              <w:jc w:val="left"/>
            </w:pPr>
            <w:r>
              <w:t xml:space="preserve">+31%</w:t>
            </w:r>
          </w:p>
        </w:tc>
        <w:tc>
          <w:tcPr/>
          <w:p>
            <w:pPr>
              <w:pStyle w:val="Compact"/>
              <w:jc w:val="left"/>
            </w:pPr>
            <w:r>
              <w:t xml:space="preserve">42%</w:t>
            </w:r>
          </w:p>
        </w:tc>
      </w:tr>
      <w:tr>
        <w:tc>
          <w:tcPr/>
          <w:p>
            <w:pPr>
              <w:pStyle w:val="Compact"/>
              <w:jc w:val="left"/>
            </w:pPr>
            <w:r>
              <w:t xml:space="preserve">Digital Transformation Law</w:t>
            </w:r>
          </w:p>
        </w:tc>
        <w:tc>
          <w:tcPr/>
          <w:p>
            <w:pPr>
              <w:pStyle w:val="Compact"/>
              <w:jc w:val="left"/>
            </w:pPr>
            <w:r>
              <w:t xml:space="preserve">672,300</w:t>
            </w:r>
          </w:p>
        </w:tc>
        <w:tc>
          <w:tcPr/>
          <w:p>
            <w:pPr>
              <w:pStyle w:val="Compact"/>
              <w:jc w:val="left"/>
            </w:pPr>
            <w:r>
              <w:t xml:space="preserve">+41%</w:t>
            </w:r>
          </w:p>
        </w:tc>
        <w:tc>
          <w:tcPr/>
          <w:p>
            <w:pPr>
              <w:pStyle w:val="Compact"/>
              <w:jc w:val="left"/>
            </w:pPr>
            <w:r>
              <w:t xml:space="preserve">58%</w:t>
            </w:r>
          </w:p>
        </w:tc>
      </w:tr>
      <w:tr>
        <w:tc>
          <w:tcPr/>
          <w:p>
            <w:pPr>
              <w:pStyle w:val="Compact"/>
              <w:jc w:val="left"/>
            </w:pPr>
            <w:r>
              <w:t xml:space="preserve">Total Munich Revenue</w:t>
            </w:r>
          </w:p>
        </w:tc>
        <w:tc>
          <w:tcPr/>
          <w:p>
            <w:pPr>
              <w:pStyle w:val="Compact"/>
              <w:jc w:val="left"/>
            </w:pPr>
            <w:r>
              <w:t xml:space="preserve">€2,897,800</w:t>
            </w:r>
          </w:p>
        </w:tc>
        <w:tc>
          <w:tcPr/>
          <w:p>
            <w:pPr>
              <w:pStyle w:val="Compact"/>
              <w:jc w:val="left"/>
            </w:pPr>
            <w:r>
              <w:rPr>
                <w:bCs/>
                <w:b/>
              </w:rPr>
              <w:t xml:space="preserve">+29% YoY</w:t>
            </w:r>
          </w:p>
        </w:tc>
        <w:tc>
          <w:tcPr/>
          <w:p>
            <w:pPr>
              <w:pStyle w:val="Compact"/>
              <w:jc w:val="left"/>
            </w:pPr>
            <w:r>
              <w:rPr>
                <w:bCs/>
                <w:b/>
              </w:rPr>
              <w:t xml:space="preserve">45% Average</w:t>
            </w:r>
          </w:p>
        </w:tc>
      </w:tr>
    </w:tbl>
    <w:p>
      <w:pPr>
        <w:pStyle w:val="BodyText"/>
      </w:pPr>
      <w:r>
        <w:t xml:space="preserve">The data reveals a compelling narrative: Our Munich-based lawyer team has successfully pivoted to meet emerging market demands. The 58% acquisition rate in Digital Transformation Law reflects our strategic foresight in anticipating the needs of Munich's tech-driven economy. This segment, which didn't exist in our portfolio three years ago, now accounts for 23% of total revenue—a testament to the adaptability of our legal professionals operating within Germany Munich.</w:t>
      </w:r>
    </w:p>
    <w:bookmarkEnd w:id="22"/>
    <w:bookmarkStart w:id="23" w:name="X716250fb8c598526d004de477b11b8c11f16d3a"/>
    <w:p>
      <w:pPr>
        <w:pStyle w:val="Heading2"/>
      </w:pPr>
      <w:r>
        <w:t xml:space="preserve">IV. Competitive Differentiation: Why Clients Choose Our Lawyer Network</w:t>
      </w:r>
    </w:p>
    <w:p>
      <w:pPr>
        <w:pStyle w:val="FirstParagraph"/>
      </w:pPr>
      <w:r>
        <w:t xml:space="preserve">This Sales Report identifies three critical differentiators that position us above competitors in Germany Munich:</w:t>
      </w:r>
    </w:p>
    <w:p>
      <w:pPr>
        <w:numPr>
          <w:ilvl w:val="0"/>
          <w:numId w:val="1001"/>
        </w:numPr>
        <w:pStyle w:val="Compact"/>
      </w:pPr>
      <w:r>
        <w:rPr>
          <w:bCs/>
          <w:b/>
        </w:rPr>
        <w:t xml:space="preserve">Cultural Fluency:</w:t>
      </w:r>
      <w:r>
        <w:t xml:space="preserve"> </w:t>
      </w:r>
      <w:r>
        <w:t xml:space="preserve">Our Munich lawyer team comprises bilingual (German/English) professionals with deep local business relationships. This enables seamless communication during negotiations—a key factor in the 87% client retention rate for corporate clients.</w:t>
      </w:r>
    </w:p>
    <w:p>
      <w:pPr>
        <w:numPr>
          <w:ilvl w:val="0"/>
          <w:numId w:val="1001"/>
        </w:numPr>
        <w:pStyle w:val="Compact"/>
      </w:pPr>
      <w:r>
        <w:rPr>
          <w:bCs/>
          <w:b/>
        </w:rPr>
        <w:t xml:space="preserve">Proactive Compliance Framework:</w:t>
      </w:r>
      <w:r>
        <w:t xml:space="preserve"> </w:t>
      </w:r>
      <w:r>
        <w:t xml:space="preserve">Unlike competitors offering reactive legal services, we implemented AI-driven compliance tools that anticipate regulatory shifts (e.g., EU Digital Services Act). This positioned our lawyer network as indispensable for Munich-based firms expanding into EU markets.</w:t>
      </w:r>
    </w:p>
    <w:p>
      <w:pPr>
        <w:numPr>
          <w:ilvl w:val="0"/>
          <w:numId w:val="1001"/>
        </w:numPr>
        <w:pStyle w:val="Compact"/>
      </w:pPr>
      <w:r>
        <w:rPr>
          <w:bCs/>
          <w:b/>
        </w:rPr>
        <w:t xml:space="preserve">Industry Specialization:</w:t>
      </w:r>
      <w:r>
        <w:t xml:space="preserve"> </w:t>
      </w:r>
      <w:r>
        <w:t xml:space="preserve">Our Munich office employs dedicated teams for automotive law (leveraging BMW/MAN partnerships), fintech, and renewable energy—directly aligning with the city's economic pillars. This specialization drove 40% of new clients in Q3.</w:t>
      </w:r>
    </w:p>
    <w:bookmarkEnd w:id="23"/>
    <w:bookmarkStart w:id="24" w:name="X4b8facfe82a7676b16935e405060617306ab5f0"/>
    <w:p>
      <w:pPr>
        <w:pStyle w:val="Heading2"/>
      </w:pPr>
      <w:r>
        <w:t xml:space="preserve">V. Strategic Recommendations from the Munich Sales Data</w:t>
      </w:r>
    </w:p>
    <w:p>
      <w:pPr>
        <w:pStyle w:val="FirstParagraph"/>
      </w:pPr>
      <w:r>
        <w:t xml:space="preserve">Based on this Sales Report, we recommend three priority actions to sustain growth in Germany Munich:</w:t>
      </w:r>
    </w:p>
    <w:p>
      <w:pPr>
        <w:numPr>
          <w:ilvl w:val="0"/>
          <w:numId w:val="1002"/>
        </w:numPr>
        <w:pStyle w:val="Compact"/>
      </w:pPr>
      <w:r>
        <w:rPr>
          <w:bCs/>
          <w:b/>
        </w:rPr>
        <w:t xml:space="preserve">Expand Digital Transformation Practice:</w:t>
      </w:r>
      <w:r>
        <w:t xml:space="preserve"> </w:t>
      </w:r>
      <w:r>
        <w:t xml:space="preserve">Allocate 15% of 2024 R&amp;D budget to develop Munich-specific AI tools for GDPR compliance. Our Q3 data shows this segment has the highest profit margin (68%) and client referral rate (73%).</w:t>
      </w:r>
    </w:p>
    <w:p>
      <w:pPr>
        <w:numPr>
          <w:ilvl w:val="0"/>
          <w:numId w:val="1002"/>
        </w:numPr>
        <w:pStyle w:val="Compact"/>
      </w:pPr>
      <w:r>
        <w:rPr>
          <w:bCs/>
          <w:b/>
        </w:rPr>
        <w:t xml:space="preserve">Munich Industry Summits:</w:t>
      </w:r>
      <w:r>
        <w:t xml:space="preserve"> </w:t>
      </w:r>
      <w:r>
        <w:t xml:space="preserve">Host quarterly "Legal Innovation Forums" in Munich with key business associations (e.g., Munich Chamber of Commerce). These events generated 29% of new leads in Q3—proving that face-to-face engagement remains vital for German business culture.</w:t>
      </w:r>
    </w:p>
    <w:p>
      <w:pPr>
        <w:numPr>
          <w:ilvl w:val="0"/>
          <w:numId w:val="1002"/>
        </w:numPr>
        <w:pStyle w:val="Compact"/>
      </w:pPr>
      <w:r>
        <w:rPr>
          <w:bCs/>
          <w:b/>
        </w:rPr>
        <w:t xml:space="preserve">Talent Development Program:</w:t>
      </w:r>
      <w:r>
        <w:t xml:space="preserve"> </w:t>
      </w:r>
      <w:r>
        <w:t xml:space="preserve">Recruit 5 additional lawyer specialists focused on EU regulatory shifts. Our Sales Report indicates a 200% increase in client inquiries about emerging regulations (e.g., AI Act, Carbon Border Tax) since July 2023.</w:t>
      </w:r>
    </w:p>
    <w:bookmarkEnd w:id="24"/>
    <w:bookmarkStart w:id="25" w:name="vi.-conclusion-the-munich-advantage"/>
    <w:p>
      <w:pPr>
        <w:pStyle w:val="Heading2"/>
      </w:pPr>
      <w:r>
        <w:t xml:space="preserve">VI. Conclusion: The Munich Advantage</w:t>
      </w:r>
    </w:p>
    <w:p>
      <w:pPr>
        <w:pStyle w:val="FirstParagraph"/>
      </w:pPr>
      <w:r>
        <w:t xml:space="preserve">This Sales Report unequivocally demonstrates that Germany Munich is not merely a regional office—it is the strategic epicenter of our firm's success in continental Europe. Our lawyer network has transformed from a local practice into an indispensable partner for Fortune 500 companies navigating German legal landscapes. The metrics prove that when legal expertise meets hyper-local market intelligence, exceptional outcomes follow: 92% of Munich clients have expanded their engagements with us beyond initial scope, and our Net Promoter Score (NPS) in Germany Munich stands at 78—32 points above the national average for law firms.</w:t>
      </w:r>
    </w:p>
    <w:p>
      <w:pPr>
        <w:pStyle w:val="BodyText"/>
      </w:pPr>
      <w:r>
        <w:t xml:space="preserve">As we finalize this Sales Report, we emphasize that success in Germany Munich requires more than legal knowledge—it demands cultural immersion. Our ability to understand the nuances of Bavarian business practices (e.g., "Vertrauensbasis" relationships, hierarchical decision-making) has been the invisible engine behind our 29% revenue growth. For any organization seeking a lawyer in Munich, our data proves that local presence isn't optional—it's the cornerstone of effective legal strategy. We recommend doubling down on Munich-specific initiatives as we scale across Germany and Europe.</w:t>
      </w:r>
    </w:p>
    <w:p>
      <w:pPr>
        <w:pStyle w:val="BodyText"/>
      </w:pPr>
      <w:r>
        <w:rPr>
          <w:bCs/>
          <w:b/>
        </w:rPr>
        <w:t xml:space="preserve">Prepared By:</w:t>
      </w:r>
      <w:r>
        <w:t xml:space="preserve"> </w:t>
      </w:r>
      <w:r>
        <w:t xml:space="preserve">Strategic Sales Analytics Team</w:t>
      </w:r>
      <w:r>
        <w:br/>
      </w:r>
      <w:r>
        <w:rPr>
          <w:bCs/>
          <w:b/>
        </w:rPr>
        <w:t xml:space="preserve">Legal Services Division,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Performance in Munich, Germany</dc:title>
  <dc:creator/>
  <dc:language>en</dc:language>
  <cp:keywords/>
  <dcterms:created xsi:type="dcterms:W3CDTF">2026-07-23T06:27:38Z</dcterms:created>
  <dcterms:modified xsi:type="dcterms:W3CDTF">2026-07-23T06:27:38Z</dcterms:modified>
</cp:coreProperties>
</file>

<file path=docProps/custom.xml><?xml version="1.0" encoding="utf-8"?>
<Properties xmlns="http://schemas.openxmlformats.org/officeDocument/2006/custom-properties" xmlns:vt="http://schemas.openxmlformats.org/officeDocument/2006/docPropsVTypes"/>
</file>