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India</w:t>
      </w:r>
      <w:r>
        <w:t xml:space="preserve"> </w:t>
      </w:r>
      <w:r>
        <w:t xml:space="preserve">Mumbai</w:t>
      </w:r>
    </w:p>
    <w:bookmarkStart w:id="27" w:name="X8b5bad12ee0673505ed3799973377735e6aff83"/>
    <w:p>
      <w:pPr>
        <w:pStyle w:val="Heading1"/>
      </w:pPr>
      <w:r>
        <w:t xml:space="preserve">Comprehensive Sales Performance Report: Premier Legal Services in India Mumbai</w:t>
      </w:r>
    </w:p>
    <w:bookmarkStart w:id="20" w:name="Xb6cdbc63ec3b5bdc82ba93050368f0235f01a66"/>
    <w:p>
      <w:pPr>
        <w:pStyle w:val="Heading2"/>
      </w:pPr>
      <w:r>
        <w:t xml:space="preserve">Introduction: Navigating the Dynamic Legal Landscape of India Mumbai</w:t>
      </w:r>
    </w:p>
    <w:p>
      <w:pPr>
        <w:pStyle w:val="FirstParagraph"/>
      </w:pPr>
      <w:r>
        <w:t xml:space="preserve">This official Sales Report presents a detailed analysis of client acquisition, case resolution metrics, and market positioning for our esteemed legal practice operating within the bustling metropolis of India Mumbai. As one of the most competitive legal hubs in South Asia, Mumbai demands exceptional expertise from every Lawyer navigating its complex judiciary system. This document serves as both an accountability record and strategic roadmap for our firm's growth in this critical Indian market.</w:t>
      </w:r>
    </w:p>
    <w:bookmarkEnd w:id="20"/>
    <w:bookmarkStart w:id="21" w:name="Xb2e9e4caa720c4c08a102f4e639add9d4fc89f2"/>
    <w:p>
      <w:pPr>
        <w:pStyle w:val="Heading2"/>
      </w:pPr>
      <w:r>
        <w:t xml:space="preserve">Current Sales Performance: Quantitative Analysis (Q1-Q3 2023)</w:t>
      </w:r>
    </w:p>
    <w:p>
      <w:pPr>
        <w:pStyle w:val="FirstParagraph"/>
      </w:pPr>
      <w:r>
        <w:t xml:space="preserve">Our Mumbai-based legal practice has achieved remarkable sales traction, securing a 37% year-on-year increase in client acquisition. This growth directly translates to a robust pipeline of high-value cases across commercial litigation, corporate compliance, and intellectual property sectors – all critical service verticals for modern Lawyer practices in India Mumbai. Key metrics include:</w:t>
      </w:r>
    </w:p>
    <w:p>
      <w:pPr>
        <w:numPr>
          <w:ilvl w:val="0"/>
          <w:numId w:val="1001"/>
        </w:numPr>
        <w:pStyle w:val="Compact"/>
      </w:pPr>
      <w:r>
        <w:rPr>
          <w:bCs/>
          <w:b/>
        </w:rPr>
        <w:t xml:space="preserve">Client Acquisition:</w:t>
      </w:r>
      <w:r>
        <w:t xml:space="preserve"> </w:t>
      </w:r>
      <w:r>
        <w:t xml:space="preserve">142 new retainers (vs. 103 in previous year), representing a 38% growth rate specifically within Mumbai's corporate sector.</w:t>
      </w:r>
    </w:p>
    <w:p>
      <w:pPr>
        <w:numPr>
          <w:ilvl w:val="0"/>
          <w:numId w:val="1001"/>
        </w:numPr>
        <w:pStyle w:val="Compact"/>
      </w:pPr>
      <w:r>
        <w:rPr>
          <w:bCs/>
          <w:b/>
        </w:rPr>
        <w:t xml:space="preserve">Cases Resolved Successfully:</w:t>
      </w:r>
      <w:r>
        <w:t xml:space="preserve"> </w:t>
      </w:r>
      <w:r>
        <w:t xml:space="preserve">89% win/withdrawal rate across 217 active cases, exceeding Mumbai's industry benchmark of 76%.</w:t>
      </w:r>
    </w:p>
    <w:p>
      <w:pPr>
        <w:numPr>
          <w:ilvl w:val="0"/>
          <w:numId w:val="1001"/>
        </w:numPr>
        <w:pStyle w:val="Compact"/>
      </w:pPr>
      <w:r>
        <w:rPr>
          <w:bCs/>
          <w:b/>
        </w:rPr>
        <w:t xml:space="preserve">Revenue Growth:</w:t>
      </w:r>
      <w:r>
        <w:t xml:space="preserve"> </w:t>
      </w:r>
      <w:r>
        <w:t xml:space="preserve">₹4.2 Cr (Q3 2023) versus ₹3.1 Cr (Q3 2022), with corporate clients accounting for 68% of total revenue.</w:t>
      </w:r>
    </w:p>
    <w:p>
      <w:pPr>
        <w:pStyle w:val="FirstParagraph"/>
      </w:pPr>
      <w:r>
        <w:t xml:space="preserve">Notably, our specialized approach to Mumbai's unique regulatory environment – including Maharashtra State Commercial Courts and the National Company Law Tribunal (NCLT) proceedings – has directly fueled this sales momentum. The Sales Report confirms that 72% of new clients were referred through existing Mumbai-based corporate networks.</w:t>
      </w:r>
    </w:p>
    <w:bookmarkEnd w:id="21"/>
    <w:bookmarkStart w:id="22" w:name="X4a2e70715c3d993efe47217c35f43c4b968d207"/>
    <w:p>
      <w:pPr>
        <w:pStyle w:val="Heading2"/>
      </w:pPr>
      <w:r>
        <w:t xml:space="preserve">Market Analysis: India Mumbai-Specific Legal Trends</w:t>
      </w:r>
    </w:p>
    <w:p>
      <w:pPr>
        <w:pStyle w:val="FirstParagraph"/>
      </w:pPr>
      <w:r>
        <w:t xml:space="preserve">The competitive landscape in India Mumbai demands nuanced sales strategies. This Sales Report identifies three critical market shifts:</w:t>
      </w:r>
    </w:p>
    <w:p>
      <w:pPr>
        <w:numPr>
          <w:ilvl w:val="0"/>
          <w:numId w:val="1002"/>
        </w:numPr>
        <w:pStyle w:val="Compact"/>
      </w:pPr>
      <w:r>
        <w:rPr>
          <w:bCs/>
          <w:b/>
        </w:rPr>
        <w:t xml:space="preserve">Regulatory Acceleration:</w:t>
      </w:r>
      <w:r>
        <w:t xml:space="preserve"> </w:t>
      </w:r>
      <w:r>
        <w:t xml:space="preserve">The implementation of the Insolvency and Bankruptcy Code (IBC) 2016 has increased commercial litigation volumes by 45% in Mumbai, creating significant demand for specialized Lawyer services.</w:t>
      </w:r>
    </w:p>
    <w:p>
      <w:pPr>
        <w:numPr>
          <w:ilvl w:val="0"/>
          <w:numId w:val="1002"/>
        </w:numPr>
        <w:pStyle w:val="Compact"/>
      </w:pPr>
      <w:r>
        <w:rPr>
          <w:bCs/>
          <w:b/>
        </w:rPr>
        <w:t xml:space="preserve">Digital Transformation:</w:t>
      </w:r>
      <w:r>
        <w:t xml:space="preserve"> </w:t>
      </w:r>
      <w:r>
        <w:t xml:space="preserve">Mumbai's legal tech adoption rate is now 32% higher than national average. Our firm leads with AI-powered case analytics, a key selling point reflected in our 28% higher client retention rate.</w:t>
      </w:r>
    </w:p>
    <w:p>
      <w:pPr>
        <w:numPr>
          <w:ilvl w:val="0"/>
          <w:numId w:val="1002"/>
        </w:numPr>
        <w:pStyle w:val="Compact"/>
      </w:pPr>
      <w:r>
        <w:rPr>
          <w:bCs/>
          <w:b/>
        </w:rPr>
        <w:t xml:space="preserve">Cross-Border Complexity:</w:t>
      </w:r>
      <w:r>
        <w:t xml:space="preserve"> </w:t>
      </w:r>
      <w:r>
        <w:t xml:space="preserve">With Mumbai as India's financial capital, 61% of new clients require international arbitration support – an area where our Lawyer expertise in Singapore International Arbitration Centre (SIAC) protocols has generated premium sales opportunities.</w:t>
      </w:r>
    </w:p>
    <w:p>
      <w:pPr>
        <w:pStyle w:val="FirstParagraph"/>
      </w:pPr>
      <w:r>
        <w:t xml:space="preserve">These trends validate our strategic pivot toward high-stakes commercial litigation, which now accounts for 75% of total revenue in India Mumbai operations. The Sales Report clearly links this focus to our ability to command 22% above-market rate premiums in the Mumbai legal market.</w:t>
      </w:r>
    </w:p>
    <w:bookmarkEnd w:id="22"/>
    <w:bookmarkStart w:id="23" w:name="client-satisfaction-market-perception"/>
    <w:p>
      <w:pPr>
        <w:pStyle w:val="Heading2"/>
      </w:pPr>
      <w:r>
        <w:t xml:space="preserve">Client Satisfaction &amp; Market Perception</w:t>
      </w:r>
    </w:p>
    <w:p>
      <w:pPr>
        <w:pStyle w:val="FirstParagraph"/>
      </w:pPr>
      <w:r>
        <w:t xml:space="preserve">Client feedback from our Mumbai practice reveals exceptional market positioning. Our latest satisfaction survey (n=98) recorded a 4.8/5 average rating, with key testimonials emphasizing:</w:t>
      </w:r>
    </w:p>
    <w:p>
      <w:pPr>
        <w:pStyle w:val="BlockText"/>
      </w:pPr>
      <w:r>
        <w:t xml:space="preserve">"Their understanding of Mumbai's commercial court procedures was unparalleled during our ₹120 Cr arbitration case. This Lawyer delivered exactly what the market demands in India Mumbai." – Chief Legal Officer, Fortune 500 Conglomerate</w:t>
      </w:r>
    </w:p>
    <w:p>
      <w:pPr>
        <w:pStyle w:val="BlockText"/>
      </w:pPr>
      <w:r>
        <w:t xml:space="preserve">"After three unsuccessful engagements with other Lawyers in Mumbai, they secured our trademark victory within 8 months – a record for this jurisdiction." – Founder, Tech Startup (Mumbai-based)</w:t>
      </w:r>
    </w:p>
    <w:p>
      <w:pPr>
        <w:pStyle w:val="FirstParagraph"/>
      </w:pPr>
      <w:r>
        <w:t xml:space="preserve">These insights confirm that our firm has successfully positioned itself as the preferred Lawyer partner for complex Mumbai-specific legal challenges. The Sales Report identifies client trust as the #1 driver of repeat business, with 67% of clients expanding service scope after initial engagement.</w:t>
      </w:r>
    </w:p>
    <w:bookmarkEnd w:id="23"/>
    <w:bookmarkStart w:id="24" w:name="challenges-in-india-mumbais-legal-market"/>
    <w:p>
      <w:pPr>
        <w:pStyle w:val="Heading2"/>
      </w:pPr>
      <w:r>
        <w:t xml:space="preserve">Challenges in India Mumbai's Legal Market</w:t>
      </w:r>
    </w:p>
    <w:p>
      <w:pPr>
        <w:pStyle w:val="FirstParagraph"/>
      </w:pPr>
      <w:r>
        <w:t xml:space="preserve">This Sales Report candidly addresses operational hurdles unique to our Mumbai practice:</w:t>
      </w:r>
    </w:p>
    <w:p>
      <w:pPr>
        <w:numPr>
          <w:ilvl w:val="0"/>
          <w:numId w:val="1003"/>
        </w:numPr>
        <w:pStyle w:val="Compact"/>
      </w:pPr>
      <w:r>
        <w:rPr>
          <w:bCs/>
          <w:b/>
        </w:rPr>
        <w:t xml:space="preserve">Judicial Delays:</w:t>
      </w:r>
      <w:r>
        <w:t xml:space="preserve"> </w:t>
      </w:r>
      <w:r>
        <w:t xml:space="preserve">Average case disposal time for commercial matters in Mumbai High Court remains 18-24 months – directly impacting client retention metrics.</w:t>
      </w:r>
    </w:p>
    <w:p>
      <w:pPr>
        <w:numPr>
          <w:ilvl w:val="0"/>
          <w:numId w:val="1003"/>
        </w:numPr>
        <w:pStyle w:val="Compact"/>
      </w:pPr>
      <w:r>
        <w:rPr>
          <w:bCs/>
          <w:b/>
        </w:rPr>
        <w:t xml:space="preserve">Talent Acquisition:</w:t>
      </w:r>
      <w:r>
        <w:t xml:space="preserve"> </w:t>
      </w:r>
      <w:r>
        <w:t xml:space="preserve">Competing for specialized Lawyer talent with Mumbai's multinational firms requires 35% higher compensation packages than national average.</w:t>
      </w:r>
    </w:p>
    <w:p>
      <w:pPr>
        <w:numPr>
          <w:ilvl w:val="0"/>
          <w:numId w:val="1003"/>
        </w:numPr>
        <w:pStyle w:val="Compact"/>
      </w:pPr>
      <w:r>
        <w:rPr>
          <w:bCs/>
          <w:b/>
        </w:rPr>
        <w:t xml:space="preserve">Regulatory Fragmentation:</w:t>
      </w:r>
      <w:r>
        <w:t xml:space="preserve"> </w:t>
      </w:r>
      <w:r>
        <w:t xml:space="preserve">Differing requirements between Maharashtra State Courts, NCLT, and SEBI necessitate customized service bundles that increase sales cycle complexity by 28%.</w:t>
      </w:r>
    </w:p>
    <w:p>
      <w:pPr>
        <w:pStyle w:val="FirstParagraph"/>
      </w:pPr>
      <w:r>
        <w:t xml:space="preserve">Despite these challenges, our Mumbai team has implemented targeted solutions: establishing dedicated IBC case units reduced delays by 19%, while strategic partnerships with Mumbai-based legal tech firms have streamlined regulatory compliance workflows.</w:t>
      </w:r>
    </w:p>
    <w:bookmarkEnd w:id="24"/>
    <w:bookmarkStart w:id="25" w:name="X6fdcf606f5c5dae11761fd27b31984e97dcb413"/>
    <w:p>
      <w:pPr>
        <w:pStyle w:val="Heading2"/>
      </w:pPr>
      <w:r>
        <w:t xml:space="preserve">Future Sales Strategy: Scaling in India Mumbai</w:t>
      </w:r>
    </w:p>
    <w:p>
      <w:pPr>
        <w:pStyle w:val="FirstParagraph"/>
      </w:pPr>
      <w:r>
        <w:t xml:space="preserve">Based on this Sales Report's analysis, we propose three data-driven initiatives for the next fiscal year:</w:t>
      </w:r>
    </w:p>
    <w:p>
      <w:pPr>
        <w:numPr>
          <w:ilvl w:val="0"/>
          <w:numId w:val="1004"/>
        </w:numPr>
        <w:pStyle w:val="Compact"/>
      </w:pPr>
      <w:r>
        <w:rPr>
          <w:bCs/>
          <w:b/>
        </w:rPr>
        <w:t xml:space="preserve">Geographic Expansion within Mumbai:</w:t>
      </w:r>
      <w:r>
        <w:t xml:space="preserve"> </w:t>
      </w:r>
      <w:r>
        <w:t xml:space="preserve">Launching specialized practice groups for Andheri and Lower Parel business districts – identified as high-growth zones with 24% annual commercial activity increase.</w:t>
      </w:r>
    </w:p>
    <w:p>
      <w:pPr>
        <w:numPr>
          <w:ilvl w:val="0"/>
          <w:numId w:val="1004"/>
        </w:numPr>
        <w:pStyle w:val="Compact"/>
      </w:pPr>
      <w:r>
        <w:rPr>
          <w:bCs/>
          <w:b/>
        </w:rPr>
        <w:t xml:space="preserve">Premium Service Bundling:</w:t>
      </w:r>
      <w:r>
        <w:t xml:space="preserve"> </w:t>
      </w:r>
      <w:r>
        <w:t xml:space="preserve">Creating "Mumbai Compliance Guarantee" packages that bundle SEBI, GST, and labor law services at fixed pricing – projected to increase average client lifetime value by 31%.</w:t>
      </w:r>
    </w:p>
    <w:p>
      <w:pPr>
        <w:numPr>
          <w:ilvl w:val="0"/>
          <w:numId w:val="1004"/>
        </w:numPr>
        <w:pStyle w:val="Compact"/>
      </w:pPr>
      <w:r>
        <w:rPr>
          <w:bCs/>
          <w:b/>
        </w:rPr>
        <w:t xml:space="preserve">Digital Sales Enablement:</w:t>
      </w:r>
      <w:r>
        <w:t xml:space="preserve"> </w:t>
      </w:r>
      <w:r>
        <w:t xml:space="preserve">Implementing Mumbai-specific AI chatbots for initial consultations that qualify leads 40% faster while maintaining cultural alignment with local legal expectations.</w:t>
      </w:r>
    </w:p>
    <w:p>
      <w:pPr>
        <w:pStyle w:val="FirstParagraph"/>
      </w:pPr>
      <w:r>
        <w:t xml:space="preserve">These strategies directly address the unique commercial dynamics of India Mumbai. The proposed expansion targets the city's top 500 corporate entities – a market segment where our current penetration stands at just 18%, presenting a ₹6.7 Cr untapped sales opportunity.</w:t>
      </w:r>
    </w:p>
    <w:bookmarkEnd w:id="25"/>
    <w:bookmarkStart w:id="26" w:name="X8601bfd8e444ae94c9c51bb4a072dfaf4d23224"/>
    <w:p>
      <w:pPr>
        <w:pStyle w:val="Heading2"/>
      </w:pPr>
      <w:r>
        <w:t xml:space="preserve">Conclusion: Positioning for Sustainable Growth</w:t>
      </w:r>
    </w:p>
    <w:p>
      <w:pPr>
        <w:pStyle w:val="FirstParagraph"/>
      </w:pPr>
      <w:r>
        <w:t xml:space="preserve">This Sales Report underscores that strategic focus on Mumbai's distinctive legal ecosystem has propelled our firm to leadership position in India's most competitive jurisdiction. Our Lawyer team's mastery of local court protocols, regulatory nuances, and business expectations has transformed client acquisition from a challenge into a sustainable growth engine. As the financial capital of India continues its trajectory as South Asia's premier commercial hub, our Mumbai practice remains uniquely positioned to capitalize on escalating legal demand.</w:t>
      </w:r>
    </w:p>
    <w:p>
      <w:pPr>
        <w:pStyle w:val="BodyText"/>
      </w:pPr>
      <w:r>
        <w:t xml:space="preserve">By embedding Mumbai-specific expertise into every sales interaction – from initial consultation to case resolution – we've established a repeatable model that delivers superior client outcomes and exceptional revenue growth. This Sales Report confirms that our differentiation as the premier Lawyer practice for India Mumbai's business community is not merely aspirational, but demonstrably achieved through quantifiable results. The path forward requires deepening this local expertise while scaling operations to meet the city's escalating legal requirements, ensuring our firm remains synonymous with excellence in Mumbai legal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India Mumbai</dc:title>
  <dc:creator/>
  <dc:language>en</dc:language>
  <cp:keywords/>
  <dcterms:created xsi:type="dcterms:W3CDTF">2026-07-25T04:21:20Z</dcterms:created>
  <dcterms:modified xsi:type="dcterms:W3CDTF">2026-07-25T04:21:20Z</dcterms:modified>
</cp:coreProperties>
</file>

<file path=docProps/custom.xml><?xml version="1.0" encoding="utf-8"?>
<Properties xmlns="http://schemas.openxmlformats.org/officeDocument/2006/custom-properties" xmlns:vt="http://schemas.openxmlformats.org/officeDocument/2006/docPropsVTypes"/>
</file>