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27" w:name="Xeab1481e4f716b3adf42e5bb2cac371793676f6"/>
    <w:p>
      <w:pPr>
        <w:pStyle w:val="Heading1"/>
      </w:pPr>
      <w:r>
        <w:t xml:space="preserve">Annual Sales Report: Legal Service Excellence in India New Delhi Market</w:t>
      </w:r>
    </w:p>
    <w:bookmarkStart w:id="20" w:name="executive-summary"/>
    <w:p>
      <w:pPr>
        <w:pStyle w:val="Heading2"/>
      </w:pPr>
      <w:r>
        <w:t xml:space="preserve">Executive Summary</w:t>
      </w:r>
    </w:p>
    <w:p>
      <w:pPr>
        <w:pStyle w:val="FirstParagraph"/>
      </w:pPr>
      <w:r>
        <w:t xml:space="preserve">This comprehensive Sales Report analyzes the performance of legal service sales across India's premier legal hub, New Delhi. The report confirms that our firm has achieved unprecedented growth in client acquisition and revenue generation within the Indian legal landscape. With a strategic focus on delivering exceptional value to clients while navigating complex regulatory frameworks unique to India, our New Delhi-based practice has established itself as a market leader. This document details sales metrics, market insights, and strategic recommendations for sustained growth in this high-demand jurisdiction.</w:t>
      </w:r>
    </w:p>
    <w:bookmarkEnd w:id="20"/>
    <w:bookmarkStart w:id="21" w:name="X207ae1ac43a02967eb7da6d4d35c13b75e5d54a"/>
    <w:p>
      <w:pPr>
        <w:pStyle w:val="Heading2"/>
      </w:pPr>
      <w:r>
        <w:t xml:space="preserve">Market Context: Legal Services Landscape in India New Delhi</w:t>
      </w:r>
    </w:p>
    <w:p>
      <w:pPr>
        <w:pStyle w:val="FirstParagraph"/>
      </w:pPr>
      <w:r>
        <w:t xml:space="preserve">New Delhi remains the epicenter of legal commerce in India, housing the Supreme Court of India, High Courts, specialized tribunals, and over 75% of national law firms. The Indian legal market is experiencing 12% annual growth (NASSCOM 2023), driven by increased corporate litigation, foreign investment regulations (FEMA/Companies Act), and judicial reforms. In this dynamic environment, our Sales Report identifies New Delhi as the most lucrative regional market for premium legal services, with clients prioritizing firms demonstrating deep institutional knowledge of Indian jurisprudence.</w:t>
      </w:r>
    </w:p>
    <w:bookmarkEnd w:id="21"/>
    <w:bookmarkStart w:id="22" w:name="key-sales-performance-metrics-q1-q4-2023"/>
    <w:p>
      <w:pPr>
        <w:pStyle w:val="Heading2"/>
      </w:pPr>
      <w:r>
        <w:t xml:space="preserve">Key Sales Performance Metrics (Q1-Q4 2023)</w:t>
      </w:r>
    </w:p>
    <w:p>
      <w:pPr>
        <w:pStyle w:val="FirstParagraph"/>
      </w:pPr>
      <w:r>
        <w:t xml:space="preserve">Performance Indicator</w:t>
      </w:r>
    </w:p>
    <w:p>
      <w:pPr>
        <w:pStyle w:val="BodyText"/>
      </w:pPr>
      <w:r>
        <w:t xml:space="preserve">Q4 2023</w:t>
      </w:r>
    </w:p>
    <w:p>
      <w:pPr>
        <w:pStyle w:val="BodyText"/>
      </w:pPr>
      <w:r>
        <w:t xml:space="preserve">Q4 2022</w:t>
      </w:r>
    </w:p>
    <w:p>
      <w:pPr>
        <w:pStyle w:val="BodyText"/>
      </w:pPr>
      <w:r>
        <w:t xml:space="preserve">Growth (%)</w:t>
      </w:r>
    </w:p>
    <w:p>
      <w:pPr>
        <w:pStyle w:val="BodyText"/>
      </w:pPr>
      <w:r>
        <w:t xml:space="preserve">Total Client Acquisition (New Cases)</w:t>
      </w:r>
    </w:p>
    <w:p>
      <w:pPr>
        <w:pStyle w:val="BodyText"/>
      </w:pPr>
      <w:r>
        <w:t xml:space="preserve">187</w:t>
      </w:r>
    </w:p>
    <w:p>
      <w:pPr>
        <w:pStyle w:val="BodyText"/>
      </w:pPr>
      <w:r>
        <w:t xml:space="preserve">143</w:t>
      </w:r>
    </w:p>
    <w:p>
      <w:pPr>
        <w:pStyle w:val="BodyText"/>
      </w:pPr>
      <w:r>
        <w:t xml:space="preserve">+30.7%</w:t>
      </w:r>
    </w:p>
    <w:p>
      <w:pPr>
        <w:pStyle w:val="BodyText"/>
      </w:pPr>
      <w:r>
        <w:t xml:space="preserve">Average Retainer Value (INR)</w:t>
      </w:r>
    </w:p>
    <w:p>
      <w:pPr>
        <w:pStyle w:val="BodyText"/>
      </w:pPr>
      <w:r>
        <w:t xml:space="preserve">₹2,450,000</w:t>
      </w:r>
    </w:p>
    <w:p>
      <w:pPr>
        <w:pStyle w:val="BodyText"/>
      </w:pPr>
      <w:r>
        <w:t xml:space="preserve">₹2,125,000</w:t>
      </w:r>
    </w:p>
    <w:p>
      <w:pPr>
        <w:pStyle w:val="BodyText"/>
      </w:pPr>
      <w:r>
        <w:t xml:space="preserve">+15.3%</w:t>
      </w:r>
    </w:p>
    <w:p>
      <w:pPr>
        <w:pStyle w:val="BodyText"/>
      </w:pPr>
      <w:r>
        <w:t xml:space="preserve">Cross-Sell Ratio (to Existing Clients)</w:t>
      </w:r>
    </w:p>
    <w:p>
      <w:pPr>
        <w:pStyle w:val="BodyText"/>
      </w:pPr>
      <w:r>
        <w:t xml:space="preserve">68%</w:t>
      </w:r>
    </w:p>
    <w:p>
      <w:pPr>
        <w:pStyle w:val="BodyText"/>
      </w:pPr>
      <w:r>
        <w:t xml:space="preserve">54%</w:t>
      </w:r>
    </w:p>
    <w:p>
      <w:pPr>
        <w:pStyle w:val="BodyText"/>
      </w:pPr>
      <w:r>
        <w:t xml:space="preserve">+25.9%</w:t>
      </w:r>
    </w:p>
    <w:p>
      <w:pPr>
        <w:pStyle w:val="BodyText"/>
      </w:pPr>
      <w:r>
        <w:t xml:space="preserve">Total Revenue Generated</w:t>
      </w:r>
    </w:p>
    <w:p>
      <w:pPr>
        <w:pStyle w:val="BodyText"/>
      </w:pPr>
      <w:r>
        <w:t xml:space="preserve">India New Delhi Market (INR)</w:t>
      </w:r>
    </w:p>
    <w:p>
      <w:pPr>
        <w:pStyle w:val="BodyText"/>
      </w:pPr>
      <w:r>
        <w:t xml:space="preserve">₹187,650,000</w:t>
      </w:r>
    </w:p>
    <w:p>
      <w:pPr>
        <w:pStyle w:val="BodyText"/>
      </w:pPr>
      <w:r>
        <w:t xml:space="preserve">The data reveals significant momentum in the New Delhi legal market. Notably, our firm achieved a 32% increase in high-value corporate litigation cases (above ₹5Cr value) compared to 2022. The sales team's strategic focus on government tender disputes and IP rights enforcement – sectors experiencing 40% year-on-year growth in New Delhi courts – directly contributed to this success. Crucially, our client retention rate reached 89% in India New Delhi, significantly above the national average of 76%, demonstrating exceptional service quality.</w:t>
      </w:r>
    </w:p>
    <w:bookmarkEnd w:id="22"/>
    <w:bookmarkStart w:id="23" w:name="Xd0dc857d278bdf136259554480a54da20334f0c"/>
    <w:p>
      <w:pPr>
        <w:pStyle w:val="Heading2"/>
      </w:pPr>
      <w:r>
        <w:t xml:space="preserve">Client Acquisition Strategy: Targeting India's Legal Ecosystem</w:t>
      </w:r>
    </w:p>
    <w:p>
      <w:pPr>
        <w:pStyle w:val="FirstParagraph"/>
      </w:pPr>
      <w:r>
        <w:t xml:space="preserve">Our Sales Report highlights three pivotal strategies that drove growth in New Delhi:</w:t>
      </w:r>
    </w:p>
    <w:p>
      <w:pPr>
        <w:numPr>
          <w:ilvl w:val="0"/>
          <w:numId w:val="1001"/>
        </w:numPr>
        <w:pStyle w:val="Compact"/>
      </w:pPr>
      <w:r>
        <w:rPr>
          <w:bCs/>
          <w:b/>
        </w:rPr>
        <w:t xml:space="preserve">Hyper-Localized Market Intelligence:</w:t>
      </w:r>
      <w:r>
        <w:t xml:space="preserve"> </w:t>
      </w:r>
      <w:r>
        <w:t xml:space="preserve">We deployed a dedicated New Delhi team analyzing Supreme Court rulings and High Court trends. For example, our proactive approach to the recent SEBI circular on crypto regulations secured 12 new fintech clients in Q3 2023.</w:t>
      </w:r>
    </w:p>
    <w:p>
      <w:pPr>
        <w:numPr>
          <w:ilvl w:val="0"/>
          <w:numId w:val="1001"/>
        </w:numPr>
        <w:pStyle w:val="Compact"/>
      </w:pPr>
      <w:r>
        <w:rPr>
          <w:bCs/>
          <w:b/>
        </w:rPr>
        <w:t xml:space="preserve">Corporatization of Legal Services:</w:t>
      </w:r>
      <w:r>
        <w:t xml:space="preserve"> </w:t>
      </w:r>
      <w:r>
        <w:t xml:space="preserve">Moving beyond traditional "Lawyer" engagement models, we designed subscription-based compliance packages for Fortune 500 companies operating in India. This transformed our sales pitch from reactive case handling to proactive risk management – a model adopted by 67% of new clients.</w:t>
      </w:r>
    </w:p>
    <w:p>
      <w:pPr>
        <w:numPr>
          <w:ilvl w:val="0"/>
          <w:numId w:val="1001"/>
        </w:numPr>
        <w:pStyle w:val="Compact"/>
      </w:pPr>
      <w:r>
        <w:rPr>
          <w:bCs/>
          <w:b/>
        </w:rPr>
        <w:t xml:space="preserve">Government Relations Network:</w:t>
      </w:r>
      <w:r>
        <w:t xml:space="preserve"> </w:t>
      </w:r>
      <w:r>
        <w:t xml:space="preserve">Leveraging established connections within the Ministry of Law &amp; Justice (New Delhi), we secured three major state government contracts for legal advisory services, representing ₹42Cr in annual revenue.</w:t>
      </w:r>
    </w:p>
    <w:bookmarkEnd w:id="23"/>
    <w:bookmarkStart w:id="24" w:name="market-specific-challenges-solutions"/>
    <w:p>
      <w:pPr>
        <w:pStyle w:val="Heading2"/>
      </w:pPr>
      <w:r>
        <w:t xml:space="preserve">Market-Specific Challenges &amp; Solutions</w:t>
      </w:r>
    </w:p>
    <w:p>
      <w:pPr>
        <w:pStyle w:val="FirstParagraph"/>
      </w:pPr>
      <w:r>
        <w:t xml:space="preserve">The Sales Report identifies critical challenges unique to India New Delhi:</w:t>
      </w:r>
    </w:p>
    <w:p>
      <w:pPr>
        <w:numPr>
          <w:ilvl w:val="0"/>
          <w:numId w:val="1002"/>
        </w:numPr>
        <w:pStyle w:val="Compact"/>
      </w:pPr>
      <w:r>
        <w:rPr>
          <w:bCs/>
          <w:b/>
        </w:rPr>
        <w:t xml:space="preserve">Regulatory Fragmentation:</w:t>
      </w:r>
      <w:r>
        <w:t xml:space="preserve"> </w:t>
      </w:r>
      <w:r>
        <w:t xml:space="preserve">Indian laws vary across states, but our New Delhi office serves as the central hub for national cases. We developed a centralized compliance database updated weekly with all relevant legal circulars – reducing client onboarding time by 40%.</w:t>
      </w:r>
    </w:p>
    <w:p>
      <w:pPr>
        <w:numPr>
          <w:ilvl w:val="0"/>
          <w:numId w:val="1002"/>
        </w:numPr>
        <w:pStyle w:val="Compact"/>
      </w:pPr>
      <w:r>
        <w:rPr>
          <w:bCs/>
          <w:b/>
        </w:rPr>
        <w:t xml:space="preserve">Cultural Perception of "Lawyer" Services:</w:t>
      </w:r>
      <w:r>
        <w:t xml:space="preserve"> </w:t>
      </w:r>
      <w:r>
        <w:t xml:space="preserve">Many Indian businesses view legal services as a cost center rather than strategic investment. Our sales team implemented educational workshops on "Legal Risk Mitigation" for SMEs in New Delhi, converting 28% of attendees into retainers.</w:t>
      </w:r>
    </w:p>
    <w:p>
      <w:pPr>
        <w:numPr>
          <w:ilvl w:val="0"/>
          <w:numId w:val="1002"/>
        </w:numPr>
        <w:pStyle w:val="Compact"/>
      </w:pPr>
      <w:r>
        <w:rPr>
          <w:bCs/>
          <w:b/>
        </w:rPr>
        <w:t xml:space="preserve">Competition in Premium Segment:</w:t>
      </w:r>
      <w:r>
        <w:t xml:space="preserve"> </w:t>
      </w:r>
      <w:r>
        <w:t xml:space="preserve">Facing established firms like Amarchand &amp; Mangaldas, we differentiated through our "Digital Legal Assistant" platform (integrated with Indian e-filing portals), providing real-time case status updates – a feature cited by 74% of new clients as decisive.</w:t>
      </w:r>
    </w:p>
    <w:bookmarkEnd w:id="24"/>
    <w:bookmarkStart w:id="25" w:name="X01cc8061d8ac8e25111cf71d8a0dbff05e0d8d7"/>
    <w:p>
      <w:pPr>
        <w:pStyle w:val="Heading2"/>
      </w:pPr>
      <w:r>
        <w:t xml:space="preserve">Future Growth Strategy for India New Delhi Market</w:t>
      </w:r>
    </w:p>
    <w:p>
      <w:pPr>
        <w:pStyle w:val="FirstParagraph"/>
      </w:pPr>
      <w:r>
        <w:t xml:space="preserve">Based on our Sales Report analysis, the following initiatives will drive future growth in New Delhi:</w:t>
      </w:r>
    </w:p>
    <w:p>
      <w:pPr>
        <w:numPr>
          <w:ilvl w:val="0"/>
          <w:numId w:val="1003"/>
        </w:numPr>
        <w:pStyle w:val="Compact"/>
      </w:pPr>
      <w:r>
        <w:rPr>
          <w:bCs/>
          <w:b/>
        </w:rPr>
        <w:t xml:space="preserve">Expansion into Emerging Sectors:</w:t>
      </w:r>
      <w:r>
        <w:t xml:space="preserve"> </w:t>
      </w:r>
      <w:r>
        <w:t xml:space="preserve">Targeting renewable energy (solar/wind) and data privacy compliance – sectors experiencing 300% growth in New Delhi court filings per TRAI reports.</w:t>
      </w:r>
    </w:p>
    <w:p>
      <w:pPr>
        <w:numPr>
          <w:ilvl w:val="0"/>
          <w:numId w:val="1003"/>
        </w:numPr>
        <w:pStyle w:val="Compact"/>
      </w:pPr>
      <w:r>
        <w:rPr>
          <w:bCs/>
          <w:b/>
        </w:rPr>
        <w:t xml:space="preserve">Technology Integration:</w:t>
      </w:r>
      <w:r>
        <w:t xml:space="preserve"> </w:t>
      </w:r>
      <w:r>
        <w:t xml:space="preserve">Launching an AI-driven case prediction tool for Indian commercial disputes, leveraging the National Judicial Data Grid. This will be positioned as a premium service for corporate clients in our New Delhi office.</w:t>
      </w:r>
    </w:p>
    <w:p>
      <w:pPr>
        <w:numPr>
          <w:ilvl w:val="0"/>
          <w:numId w:val="1003"/>
        </w:numPr>
        <w:pStyle w:val="Compact"/>
      </w:pPr>
      <w:r>
        <w:rPr>
          <w:bCs/>
          <w:b/>
        </w:rPr>
        <w:t xml:space="preserve">Talent Acquisition Drive:</w:t>
      </w:r>
      <w:r>
        <w:t xml:space="preserve"> </w:t>
      </w:r>
      <w:r>
        <w:t xml:space="preserve">Adding 5 specialized lawyers with expertise in India's new Insolvency and Bankruptcy Code (IBC) procedures to address the surge in corporate restructuring cases.</w:t>
      </w:r>
    </w:p>
    <w:p>
      <w:pPr>
        <w:numPr>
          <w:ilvl w:val="0"/>
          <w:numId w:val="1003"/>
        </w:numPr>
        <w:pStyle w:val="Compact"/>
      </w:pPr>
      <w:r>
        <w:rPr>
          <w:bCs/>
          <w:b/>
        </w:rPr>
        <w:t xml:space="preserve">Strategic Partnerships:</w:t>
      </w:r>
      <w:r>
        <w:t xml:space="preserve"> </w:t>
      </w:r>
      <w:r>
        <w:t xml:space="preserve">Collaborating with leading Indian business chambers (CII, FICCI) for joint events focused on "Legal Compliance for Foreign Investors," directly targeting New Delhi's international business community.</w:t>
      </w:r>
    </w:p>
    <w:bookmarkEnd w:id="25"/>
    <w:bookmarkStart w:id="26" w:name="Xa08ed9c7b54a8fb3667d20e395c3c525f26e29e"/>
    <w:p>
      <w:pPr>
        <w:pStyle w:val="Heading2"/>
      </w:pPr>
      <w:r>
        <w:t xml:space="preserve">Conclusion: Leading the Legal Sales Revolution in India</w:t>
      </w:r>
    </w:p>
    <w:p>
      <w:pPr>
        <w:pStyle w:val="FirstParagraph"/>
      </w:pPr>
      <w:r>
        <w:t xml:space="preserve">This Sales Report unequivocally demonstrates that our New Delhi-based legal practice has achieved market leadership through data-driven sales strategies tailored to India's unique legal ecosystem. The transformation from traditional "Lawyer" service delivery to integrated commercial advisory solutions has positioned us at the forefront of the $14B Indian legal services market. By embedding deep knowledge of India's judicial processes within our sales methodology, we've not only increased revenue but redefined client expectations in New Delhi.</w:t>
      </w:r>
    </w:p>
    <w:p>
      <w:pPr>
        <w:pStyle w:val="BodyText"/>
      </w:pPr>
      <w:r>
        <w:t xml:space="preserve">As India continues its journey toward becoming a $5T economy, the demand for sophisticated legal services in New Delhi will accelerate. Our firm is strategically equipped to capitalize on this growth through continuous innovation in sales execution. The key differentiator remains our unwavering focus on India-specific legal nuances – ensuring every "Sales Report" delivers measurable value within the Indian context. With these initiatives, we project 45% revenue growth for 2024, solidifying our position as New Delhi's most trusted legal partner.</w:t>
      </w:r>
    </w:p>
    <w:p>
      <w:pPr>
        <w:pStyle w:val="BodyText"/>
      </w:pPr>
      <w:r>
        <w:rPr>
          <w:bCs/>
          <w:b/>
        </w:rPr>
        <w:t xml:space="preserve">Prepared by:</w:t>
      </w:r>
      <w:r>
        <w:t xml:space="preserve"> </w:t>
      </w:r>
      <w:r>
        <w:t xml:space="preserve">Sales Analytics Department |</w:t>
      </w:r>
      <w:r>
        <w:t xml:space="preserve"> </w:t>
      </w:r>
      <w:r>
        <w:rPr>
          <w:bCs/>
          <w:b/>
        </w:rPr>
        <w:t xml:space="preserve">Location:</w:t>
      </w:r>
      <w:r>
        <w:t xml:space="preserve"> </w:t>
      </w:r>
      <w:r>
        <w:t xml:space="preserve">New Delhi Legal Hub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Legal Services Performance in India New Delhi</dc:title>
  <dc:creator/>
  <dc:language>en</dc:language>
  <cp:keywords/>
  <dcterms:created xsi:type="dcterms:W3CDTF">2026-07-24T03:50:42Z</dcterms:created>
  <dcterms:modified xsi:type="dcterms:W3CDTF">2026-07-24T03:50:42Z</dcterms:modified>
</cp:coreProperties>
</file>

<file path=docProps/custom.xml><?xml version="1.0" encoding="utf-8"?>
<Properties xmlns="http://schemas.openxmlformats.org/officeDocument/2006/custom-properties" xmlns:vt="http://schemas.openxmlformats.org/officeDocument/2006/docPropsVTypes"/>
</file>