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29" w:name="Xb88e36e7c419690018c8bc9d1b8ca822c63ab6e"/>
    <w:p>
      <w:pPr>
        <w:pStyle w:val="Heading1"/>
      </w:pPr>
      <w:r>
        <w:t xml:space="preserve">Quarterly Sales Performance Report: Elite Law Firm Jakarta (Indonesia)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sales performance of Elite Law Firm Jakarta (ELFJ), a premier legal practice operating across Indonesia Jakarta. During Q3 2023, we achieved unprecedented growth in client acquisition and revenue generation, solidifying our position as the leading legal services provider in the Indonesian capital. Our strategic focus on high-value corporate litigation, M&amp;A transactions, and compliance advisory—tailored specifically to Jakarta's dynamic business ecosystem—drove a 32% year-over-year increase in sales revenue. The success underscores the critical importance of localized legal expertise within Indonesia Jakarta's rapidly evolving regulatory landscape.</w:t>
      </w:r>
    </w:p>
    <w:bookmarkEnd w:id="20"/>
    <w:bookmarkStart w:id="21" w:name="X7b275494aa65c48072ae714ddd07fc2cb36972c"/>
    <w:p>
      <w:pPr>
        <w:pStyle w:val="Heading2"/>
      </w:pPr>
      <w:r>
        <w:t xml:space="preserve">II. Sales Performance Metrics (Jakarta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Corporate Clients (Jakarta-based)</w:t>
            </w:r>
          </w:p>
        </w:tc>
        <w:tc>
          <w:tcPr/>
          <w:p>
            <w:pPr>
              <w:pStyle w:val="Compact"/>
              <w:jc w:val="left"/>
            </w:pPr>
            <w:r>
              <w:t xml:space="preserve">47</w:t>
            </w:r>
          </w:p>
        </w:tc>
        <w:tc>
          <w:tcPr/>
          <w:p>
            <w:pPr>
              <w:pStyle w:val="Compact"/>
              <w:jc w:val="left"/>
            </w:pPr>
            <w:r>
              <w:t xml:space="preserve">31</w:t>
            </w:r>
          </w:p>
        </w:tc>
        <w:tc>
          <w:tcPr/>
          <w:p>
            <w:pPr>
              <w:pStyle w:val="Compact"/>
              <w:jc w:val="left"/>
            </w:pPr>
            <w:r>
              <w:t xml:space="preserve">+51.6%</w:t>
            </w:r>
          </w:p>
        </w:tc>
      </w:tr>
      <w:tr>
        <w:tc>
          <w:tcPr/>
          <w:p>
            <w:pPr>
              <w:pStyle w:val="Compact"/>
              <w:jc w:val="left"/>
            </w:pPr>
            <w:r>
              <w:t xml:space="preserve">Total Revenue Generated</w:t>
            </w:r>
          </w:p>
        </w:tc>
        <w:tc>
          <w:tcPr/>
          <w:p>
            <w:pPr>
              <w:pStyle w:val="Compact"/>
              <w:jc w:val="left"/>
            </w:pPr>
            <w:r>
              <w:t xml:space="preserve">IDR 28,500,000,000</w:t>
            </w:r>
          </w:p>
        </w:tc>
        <w:tc>
          <w:tcPr/>
          <w:p>
            <w:pPr>
              <w:pStyle w:val="Compact"/>
              <w:jc w:val="left"/>
            </w:pPr>
            <w:r>
              <w:t xml:space="preserve">IDR 21,654,327,891</w:t>
            </w:r>
          </w:p>
        </w:tc>
        <w:tc>
          <w:tcPr/>
          <w:p>
            <w:pPr>
              <w:pStyle w:val="Compact"/>
              <w:jc w:val="left"/>
            </w:pPr>
            <w:r>
              <w:t xml:space="preserve">+31.6%</w:t>
            </w:r>
          </w:p>
        </w:tc>
      </w:tr>
      <w:tr>
        <w:tc>
          <w:tcPr/>
          <w:p>
            <w:pPr>
              <w:pStyle w:val="Compact"/>
              <w:jc w:val="left"/>
            </w:pPr>
            <w:r>
              <w:t xml:space="preserve">Client Retention Rate (Jakarta)</w:t>
            </w:r>
          </w:p>
        </w:tc>
        <w:tc>
          <w:tcPr/>
          <w:p>
            <w:pPr>
              <w:pStyle w:val="Compact"/>
              <w:jc w:val="left"/>
            </w:pPr>
            <w:r>
              <w:t xml:space="preserve">89%</w:t>
            </w:r>
          </w:p>
        </w:tc>
        <w:tc>
          <w:tcPr/>
          <w:p>
            <w:pPr>
              <w:pStyle w:val="Compact"/>
              <w:jc w:val="left"/>
            </w:pPr>
            <w:r>
              <w:t xml:space="preserve">84%</w:t>
            </w:r>
          </w:p>
        </w:tc>
        <w:tc>
          <w:tcPr/>
          <w:p>
            <w:pPr>
              <w:pStyle w:val="Compact"/>
              <w:jc w:val="left"/>
            </w:pPr>
            <w:r>
              <w:t xml:space="preserve">+5 pts</w:t>
            </w:r>
          </w:p>
        </w:tc>
      </w:tr>
      <w:tr>
        <w:tc>
          <w:tcPr/>
          <w:p>
            <w:pPr>
              <w:pStyle w:val="Compact"/>
              <w:jc w:val="left"/>
            </w:pPr>
            <w:r>
              <w:t xml:space="preserve">New Business Pipeline Value</w:t>
            </w:r>
          </w:p>
        </w:tc>
        <w:tc>
          <w:tcPr/>
          <w:p>
            <w:pPr>
              <w:pStyle w:val="Compact"/>
            </w:pPr>
          </w:p>
        </w:tc>
        <w:tc>
          <w:tcPr/>
          <w:p>
            <w:pPr>
              <w:pStyle w:val="Compact"/>
            </w:pPr>
          </w:p>
        </w:tc>
        <w:tc>
          <w:tcPr/>
          <w:p>
            <w:pPr>
              <w:pStyle w:val="Compact"/>
            </w:pPr>
          </w:p>
        </w:tc>
      </w:tr>
      <w:tr>
        <w:tc>
          <w:tcPr/>
          <w:p>
            <w:pPr>
              <w:pStyle w:val="Compact"/>
              <w:jc w:val="left"/>
            </w:pPr>
            <w:r>
              <w:t xml:space="preserve">IDR 12,300,000,000 (Q3) | 37% Growth vs. Q2</w:t>
            </w:r>
          </w:p>
        </w:tc>
        <w:tc>
          <w:tcPr/>
          <w:p>
            <w:pPr>
              <w:pStyle w:val="Compact"/>
            </w:pPr>
          </w:p>
        </w:tc>
        <w:tc>
          <w:tcPr/>
          <w:p>
            <w:pPr>
              <w:pStyle w:val="Compact"/>
            </w:pPr>
          </w:p>
        </w:tc>
        <w:tc>
          <w:tcPr/>
          <w:p>
            <w:pPr>
              <w:pStyle w:val="Compact"/>
            </w:pPr>
          </w:p>
        </w:tc>
      </w:tr>
    </w:tbl>
    <w:p>
      <w:pPr>
        <w:pStyle w:val="BodyText"/>
      </w:pPr>
      <w:r>
        <w:t xml:space="preserve">Our sales growth directly reflects Jakarta's position as Indonesia's economic epicenter. The city accounts for 42% of national foreign investment and hosts over 1,800 multinational corporations—creating immense demand for sophisticated legal services. This quarter, our lawyer team secured major mandates from Fortune 500 companies in Jakarta's Central Business District (CBD), including PT Bank Negara Indonesia (BNI) and PT XL Axiata Tbk.</w:t>
      </w:r>
    </w:p>
    <w:bookmarkEnd w:id="21"/>
    <w:bookmarkStart w:id="25" w:name="Xe5381c0013e49c4e0f3dd27d3fe5360a6350ae5"/>
    <w:p>
      <w:pPr>
        <w:pStyle w:val="Heading2"/>
      </w:pPr>
      <w:r>
        <w:t xml:space="preserve">III. Case-Specific Sales Analysis: Lawyer Expertise in Action</w:t>
      </w:r>
    </w:p>
    <w:p>
      <w:pPr>
        <w:pStyle w:val="FirstParagraph"/>
      </w:pPr>
      <w:r>
        <w:t xml:space="preserve">Our sales strategy leverages deep jurisdictional knowledge of Indonesia Jakarta regulations. Three case categories drove 76% of Q3 revenue:</w:t>
      </w:r>
    </w:p>
    <w:bookmarkStart w:id="22" w:name="X67328cbcc09b64c7dccfd4df171f57ec0e4d902"/>
    <w:p>
      <w:pPr>
        <w:pStyle w:val="Heading3"/>
      </w:pPr>
      <w:r>
        <w:t xml:space="preserve">A. Corporate Litigation &amp; Dispute Resolution</w:t>
      </w:r>
    </w:p>
    <w:p>
      <w:pPr>
        <w:pStyle w:val="FirstParagraph"/>
      </w:pPr>
      <w:r>
        <w:rPr>
          <w:bCs/>
          <w:b/>
        </w:rPr>
        <w:t xml:space="preserve">Sales Impact:</w:t>
      </w:r>
      <w:r>
        <w:t xml:space="preserve"> </w:t>
      </w:r>
      <w:r>
        <w:t xml:space="preserve">42% of total revenue</w:t>
      </w:r>
      <w:r>
        <w:br/>
      </w:r>
      <w:r>
        <w:rPr>
          <w:bCs/>
          <w:b/>
        </w:rPr>
        <w:t xml:space="preserve">Key Deal:</w:t>
      </w:r>
      <w:r>
        <w:t xml:space="preserve"> </w:t>
      </w:r>
      <w:r>
        <w:t xml:space="preserve">$18M cross-border contract dispute for a Jakarta-based manufacturing conglomerate (Sawit Group) resolved within 7 weeks.</w:t>
      </w:r>
      <w:r>
        <w:br/>
      </w:r>
      <w:r>
        <w:rPr>
          <w:bCs/>
          <w:b/>
        </w:rPr>
        <w:t xml:space="preserve">Why It Worked:</w:t>
      </w:r>
      <w:r>
        <w:t xml:space="preserve"> </w:t>
      </w:r>
      <w:r>
        <w:t xml:space="preserve">Our Jakarta lawyer team understood nuanced Land Use Law (UU No. 2/1982) and Jakarta's Municipal Court procedures, avoiding costly procedural delays. This win triggered referrals from three additional corporate clients.</w:t>
      </w:r>
    </w:p>
    <w:bookmarkEnd w:id="22"/>
    <w:bookmarkStart w:id="23" w:name="b.-ma-advisory-in-indonesia-jakarta"/>
    <w:p>
      <w:pPr>
        <w:pStyle w:val="Heading3"/>
      </w:pPr>
      <w:r>
        <w:t xml:space="preserve">B. M&amp;A Advisory in Indonesia Jakarta</w:t>
      </w:r>
    </w:p>
    <w:p>
      <w:pPr>
        <w:pStyle w:val="FirstParagraph"/>
      </w:pPr>
      <w:r>
        <w:rPr>
          <w:bCs/>
          <w:b/>
        </w:rPr>
        <w:t xml:space="preserve">Sales Impact:</w:t>
      </w:r>
      <w:r>
        <w:t xml:space="preserve"> </w:t>
      </w:r>
      <w:r>
        <w:t xml:space="preserve">31% of total revenue</w:t>
      </w:r>
      <w:r>
        <w:br/>
      </w:r>
      <w:r>
        <w:rPr>
          <w:bCs/>
          <w:b/>
        </w:rPr>
        <w:t xml:space="preserve">Key Deal:</w:t>
      </w:r>
      <w:r>
        <w:t xml:space="preserve"> </w:t>
      </w:r>
      <w:r>
        <w:t xml:space="preserve">Structuring the IDR 4.2T acquisition of a Jakarta-based pharmaceutical distributor for Singaporean healthcare firm.</w:t>
      </w:r>
      <w:r>
        <w:br/>
      </w:r>
      <w:r>
        <w:rPr>
          <w:bCs/>
          <w:b/>
        </w:rPr>
        <w:t xml:space="preserve">Why It Worked:</w:t>
      </w:r>
      <w:r>
        <w:t xml:space="preserve"> </w:t>
      </w:r>
      <w:r>
        <w:t xml:space="preserve">Our lawyer specialized in OJK (Financial Services Authority) compliance and Jakarta-specific property transfer regulations. This transaction required navigating BKPM (Investment Coordinating Board) approvals—where our local expertise shortened due diligence by 22 business days.</w:t>
      </w:r>
    </w:p>
    <w:bookmarkEnd w:id="23"/>
    <w:bookmarkStart w:id="24" w:name="X542c137f200024a31acd0b766efcf1fdd513dce"/>
    <w:p>
      <w:pPr>
        <w:pStyle w:val="Heading3"/>
      </w:pPr>
      <w:r>
        <w:t xml:space="preserve">C. Regulatory Compliance for Jakarta Operations</w:t>
      </w:r>
    </w:p>
    <w:p>
      <w:pPr>
        <w:pStyle w:val="FirstParagraph"/>
      </w:pPr>
      <w:r>
        <w:rPr>
          <w:bCs/>
          <w:b/>
        </w:rPr>
        <w:t xml:space="preserve">Sales Impact:</w:t>
      </w:r>
      <w:r>
        <w:t xml:space="preserve"> </w:t>
      </w:r>
      <w:r>
        <w:t xml:space="preserve">27% of total revenue</w:t>
      </w:r>
      <w:r>
        <w:br/>
      </w:r>
      <w:r>
        <w:rPr>
          <w:bCs/>
          <w:b/>
        </w:rPr>
        <w:t xml:space="preserve">Key Deal:</w:t>
      </w:r>
      <w:r>
        <w:t xml:space="preserve"> </w:t>
      </w:r>
      <w:r>
        <w:t xml:space="preserve">Implementing GDPR-aligned data privacy protocols for a multinational tech firm expanding operations in Jakarta.</w:t>
      </w:r>
      <w:r>
        <w:br/>
      </w:r>
      <w:r>
        <w:rPr>
          <w:bCs/>
          <w:b/>
        </w:rPr>
        <w:t xml:space="preserve">Why It Worked:</w:t>
      </w:r>
      <w:r>
        <w:t xml:space="preserve"> </w:t>
      </w:r>
      <w:r>
        <w:t xml:space="preserve">Our lawyer team adapted Indonesia's PDP Law (Personal Data Protection) to Jakarta's unique urban infrastructure challenges, including managing data centers across 37 districts. This service became our fastest-growing revenue stream.</w:t>
      </w:r>
    </w:p>
    <w:bookmarkEnd w:id="24"/>
    <w:bookmarkEnd w:id="25"/>
    <w:bookmarkStart w:id="26" w:name="X62d71c498f31acbfcc5ea0bdb6893426e7ef7a9"/>
    <w:p>
      <w:pPr>
        <w:pStyle w:val="Heading2"/>
      </w:pPr>
      <w:r>
        <w:t xml:space="preserve">IV. Client Acquisition Strategy: Tailored for Jakarta</w:t>
      </w:r>
    </w:p>
    <w:p>
      <w:pPr>
        <w:pStyle w:val="FirstParagraph"/>
      </w:pPr>
      <w:r>
        <w:t xml:space="preserve">Unlike generic law firms, our sales approach integrates Indonesia Jakarta's cultural and economic realities:</w:t>
      </w:r>
    </w:p>
    <w:p>
      <w:pPr>
        <w:numPr>
          <w:ilvl w:val="0"/>
          <w:numId w:val="1001"/>
        </w:numPr>
        <w:pStyle w:val="Compact"/>
      </w:pPr>
      <w:r>
        <w:rPr>
          <w:bCs/>
          <w:b/>
        </w:rPr>
        <w:t xml:space="preserve">Hyper-Local Networking:</w:t>
      </w:r>
      <w:r>
        <w:t xml:space="preserve"> </w:t>
      </w:r>
      <w:r>
        <w:t xml:space="preserve">87% of new clients came through targeted events at Jakarta's Business Club (MNC Square) and Indonesia Chamber of Commerce (KADIN). Our lawyer team hosts monthly "Regulatory Breakfasts" in Sudirman Central Business District.</w:t>
      </w:r>
    </w:p>
    <w:p>
      <w:pPr>
        <w:numPr>
          <w:ilvl w:val="0"/>
          <w:numId w:val="1001"/>
        </w:numPr>
        <w:pStyle w:val="Compact"/>
      </w:pPr>
      <w:r>
        <w:rPr>
          <w:bCs/>
          <w:b/>
        </w:rPr>
        <w:t xml:space="preserve">Digital Presence Optimization:</w:t>
      </w:r>
      <w:r>
        <w:t xml:space="preserve"> </w:t>
      </w:r>
      <w:r>
        <w:t xml:space="preserve">Developed Jakarta-specific SEO content targeting keywords like "corporate lawyer jakarta", "M&amp;A Indonesia legal counsel". Resulted in 170% more organic leads from Jakarta-based businesses.</w:t>
      </w:r>
    </w:p>
    <w:p>
      <w:pPr>
        <w:numPr>
          <w:ilvl w:val="0"/>
          <w:numId w:val="1001"/>
        </w:numPr>
        <w:pStyle w:val="Compact"/>
      </w:pPr>
      <w:r>
        <w:rPr>
          <w:bCs/>
          <w:b/>
        </w:rPr>
        <w:t xml:space="preserve">Government Partnership Program:</w:t>
      </w:r>
      <w:r>
        <w:t xml:space="preserve"> </w:t>
      </w:r>
      <w:r>
        <w:t xml:space="preserve">Collaborated with Jakarta's Investment Office (BKPM) for certified legal workshops. This generated 19 qualified leads from new foreign investors establishing operations in the capital city.</w:t>
      </w:r>
    </w:p>
    <w:bookmarkEnd w:id="26"/>
    <w:bookmarkStart w:id="27" w:name="X7f14cdf52ab3f814a8119f4b5c0a43194d12ce9"/>
    <w:p>
      <w:pPr>
        <w:pStyle w:val="Heading2"/>
      </w:pPr>
      <w:r>
        <w:t xml:space="preserve">V. Market Challenges &amp; Strategic Adaptations</w:t>
      </w:r>
    </w:p>
    <w:p>
      <w:pPr>
        <w:pStyle w:val="FirstParagraph"/>
      </w:pPr>
      <w:r>
        <w:t xml:space="preserve">Indonesia Jakarta presents unique hurdles requiring specialized sales approaches:</w:t>
      </w:r>
    </w:p>
    <w:p>
      <w:pPr>
        <w:pStyle w:val="BodyText"/>
      </w:pPr>
      <w:r>
        <w:rPr>
          <w:bCs/>
          <w:b/>
        </w:rPr>
        <w:t xml:space="preserve">Challenge 1: Fragmented Regulatory Environment</w:t>
      </w:r>
      <w:r>
        <w:br/>
      </w:r>
      <w:r>
        <w:t xml:space="preserve">Each of Jakarta's 5 districts (Jakarta Pusat, Utara, Selatan, Barat, Timur) has local bylaws affecting business operations. Our sales team now includes district-specific compliance specialists to address client concerns during consultations.</w:t>
      </w:r>
    </w:p>
    <w:p>
      <w:pPr>
        <w:pStyle w:val="BodyText"/>
      </w:pPr>
      <w:r>
        <w:rPr>
          <w:bCs/>
          <w:b/>
        </w:rPr>
        <w:t xml:space="preserve">Challenge 2: Client Expectations for "Local Lawyer" Expertise</w:t>
      </w:r>
      <w:r>
        <w:br/>
      </w:r>
      <w:r>
        <w:t xml:space="preserve">83% of Jakarta-based clients prioritize lawyers with on-ground Jakarta experience. We implemented a mandatory "Jakarta Immersion Program" for all new lawyers, requiring 6 months working at our office in Sudirman before client-facing roles.</w:t>
      </w:r>
    </w:p>
    <w:p>
      <w:pPr>
        <w:pStyle w:val="BodyText"/>
      </w:pPr>
      <w:r>
        <w:rPr>
          <w:bCs/>
          <w:b/>
        </w:rPr>
        <w:t xml:space="preserve">Challenge 3: Competitive Pricing Pressure</w:t>
      </w:r>
      <w:r>
        <w:br/>
      </w:r>
      <w:r>
        <w:t xml:space="preserve">Competitors (including foreign firms) undercut pricing. Our solution: Value-based pricing tiers reflecting Jakarta's complex regulatory environment. For example, a standard corporate contract review now starts at IDR 75 million (vs. industry avg IDR 50M), but includes mandatory Jakarta-specific risk assessments.</w:t>
      </w:r>
    </w:p>
    <w:bookmarkEnd w:id="27"/>
    <w:bookmarkStart w:id="28" w:name="vi.-conclusion-strategic-outlook"/>
    <w:p>
      <w:pPr>
        <w:pStyle w:val="Heading2"/>
      </w:pPr>
      <w:r>
        <w:t xml:space="preserve">VI. Conclusion &amp; Strategic Outlook</w:t>
      </w:r>
    </w:p>
    <w:p>
      <w:pPr>
        <w:pStyle w:val="FirstParagraph"/>
      </w:pPr>
      <w:r>
        <w:t xml:space="preserve">The Q3 sales performance confirms that specialized legal expertise deeply rooted in Indonesia Jakarta's business context is non-negotiable for market success. Our lawyer team's mastery of Jakarta-specific regulations—from municipal building codes affecting construction projects to DKI Jakarta's digital governance initiatives—directly drove revenue growth. This quarter, we've seen a 41% increase in repeat clients seeking our services for new ventures in Indonesia Jakarta, proving that localized legal knowledge builds trust.</w:t>
      </w:r>
    </w:p>
    <w:p>
      <w:pPr>
        <w:pStyle w:val="BodyText"/>
      </w:pPr>
      <w:r>
        <w:t xml:space="preserve">For Q4 2023, we'll expand sales efforts into Jakarta's emerging sectors: (1) Green Energy Compliance for solar projects across Tangerang and Bekasi (Jakarta metropolitan area), and (2) E-commerce Legal Frameworks for SMEs in West Jakarta. Our sales strategy will emphasize how Indonesia Jakarta's regulatory evolution creates unique opportunities—positioning our lawyer team as essential partners, not just service providers.</w:t>
      </w:r>
    </w:p>
    <w:p>
      <w:pPr>
        <w:pStyle w:val="BodyText"/>
      </w:pPr>
      <w:r>
        <w:rPr>
          <w:bCs/>
          <w:b/>
        </w:rPr>
        <w:t xml:space="preserve">Final Note:</w:t>
      </w:r>
      <w:r>
        <w:t xml:space="preserve"> </w:t>
      </w:r>
      <w:r>
        <w:t xml:space="preserve">In a market where 78% of foreign investors cite "local legal knowledge" as their top selection criterion (Jakarta Business Survey 2023), this Sales Report underscores that Elite Law Firm Jakarta isn't merely selling legal services—we're delivering strategic competitive advantage within Indonesia's most complex business hub.</w:t>
      </w:r>
    </w:p>
    <w:p>
      <w:pPr>
        <w:pStyle w:val="BodyText"/>
      </w:pPr>
      <w:r>
        <w:rPr>
          <w:bCs/>
          <w:b/>
        </w:rPr>
        <w:t xml:space="preserve">Prepared By:</w:t>
      </w:r>
      <w:r>
        <w:t xml:space="preserve"> </w:t>
      </w:r>
      <w:r>
        <w:t xml:space="preserve">Client Acquisition &amp; Growth Division, Elite Law Firm Jakarta</w:t>
      </w:r>
      <w:r>
        <w:br/>
      </w:r>
      <w:r>
        <w:rPr>
          <w:bCs/>
          <w:b/>
        </w:rPr>
        <w:t xml:space="preserve">Contact:</w:t>
      </w:r>
      <w:r>
        <w:t xml:space="preserve"> </w:t>
      </w:r>
      <w:r>
        <w:t xml:space="preserve">sales@elitelawjakarta.id | +62 21 5080 1999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Jakarta, Indonesia</dc:title>
  <dc:creator/>
  <dc:language>en</dc:language>
  <cp:keywords/>
  <dcterms:created xsi:type="dcterms:W3CDTF">2026-07-23T21:48:56Z</dcterms:created>
  <dcterms:modified xsi:type="dcterms:W3CDTF">2026-07-23T21:48:56Z</dcterms:modified>
</cp:coreProperties>
</file>

<file path=docProps/custom.xml><?xml version="1.0" encoding="utf-8"?>
<Properties xmlns="http://schemas.openxmlformats.org/officeDocument/2006/custom-properties" xmlns:vt="http://schemas.openxmlformats.org/officeDocument/2006/docPropsVTypes"/>
</file>