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Iran</w:t>
      </w:r>
      <w:r>
        <w:t xml:space="preserve"> </w:t>
      </w:r>
      <w:r>
        <w:t xml:space="preserve">Tehran</w:t>
      </w:r>
    </w:p>
    <w:bookmarkStart w:id="31" w:name="X5523a164c410dad313f85d6a6d268b3f959e67c"/>
    <w:p>
      <w:pPr>
        <w:pStyle w:val="Heading1"/>
      </w:pPr>
      <w:r>
        <w:t xml:space="preserve">Q3 2023 Sales Report: Comprehensive Analysis of Legal Service Performance in Iran Tehran</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Executive Leadership, Tehran Legal Consortium</w:t>
      </w:r>
      <w:r>
        <w:br/>
      </w:r>
      <w:r>
        <w:rPr>
          <w:bCs/>
          <w:b/>
        </w:rPr>
        <w:t xml:space="preserve">Prepared By:</w:t>
      </w:r>
      <w:r>
        <w:t xml:space="preserve"> </w:t>
      </w:r>
      <w:r>
        <w:t xml:space="preserve">Sales Intelligence Division, Iran Legal Analytics Group</w:t>
      </w:r>
    </w:p>
    <w:bookmarkStart w:id="20" w:name="i.-executive-summary"/>
    <w:p>
      <w:pPr>
        <w:pStyle w:val="Heading2"/>
      </w:pPr>
      <w:r>
        <w:t xml:space="preserve">I. Executive Summary</w:t>
      </w:r>
    </w:p>
    <w:p>
      <w:pPr>
        <w:pStyle w:val="FirstParagraph"/>
      </w:pPr>
      <w:r>
        <w:t xml:space="preserve">This Sales Report details the performance metrics for legal service sales across Iran Tehran during the third quarter of 2023. As a premier legal services provider operating within the complex regulatory landscape of Iran Tehran, our firm has achieved remarkable growth in client acquisition and service delivery volume. The report confirms that strategic positioning as a specialized</w:t>
      </w:r>
      <w:r>
        <w:t xml:space="preserve"> </w:t>
      </w:r>
      <w:r>
        <w:rPr>
          <w:bCs/>
          <w:b/>
        </w:rPr>
        <w:t xml:space="preserve">Lawyer</w:t>
      </w:r>
      <w:r>
        <w:t xml:space="preserve"> </w:t>
      </w:r>
      <w:r>
        <w:t xml:space="preserve">consultancy has driven a 28% year-over-year increase in sales revenue, with Tehran emerging as the undisputed epicenter for high-value legal transactions in Iran. This document serves as both an accountability record and strategic roadmap for our continued dominance in the</w:t>
      </w:r>
      <w:r>
        <w:t xml:space="preserve"> </w:t>
      </w:r>
      <w:r>
        <w:rPr>
          <w:bCs/>
          <w:b/>
        </w:rPr>
        <w:t xml:space="preserve">Iran Tehran</w:t>
      </w:r>
      <w:r>
        <w:t xml:space="preserve"> </w:t>
      </w:r>
      <w:r>
        <w:t xml:space="preserve">legal market.</w:t>
      </w:r>
    </w:p>
    <w:bookmarkEnd w:id="20"/>
    <w:bookmarkStart w:id="21" w:name="X1fd7bcfe431650e2a00b4eec186451f87c49263"/>
    <w:p>
      <w:pPr>
        <w:pStyle w:val="Heading2"/>
      </w:pPr>
      <w:r>
        <w:t xml:space="preserve">II. Market Context: Iran Tehran Legal Landscape</w:t>
      </w:r>
    </w:p>
    <w:p>
      <w:pPr>
        <w:pStyle w:val="FirstParagraph"/>
      </w:pPr>
      <w:r>
        <w:t xml:space="preserve">The legal sector in Iran Tehran operates within a dynamic environment shaped by evolving commercial regulations, international sanctions compliance needs, and increasing foreign investment activity. As of Q3 2023, Tehran accounts for 67% of all high-stakes corporate litigation and commercial dispute resolutions in Iran (Source: Iranian Ministry of Justice Data Portal). This concentration creates unparalleled opportunities for a specialized</w:t>
      </w:r>
      <w:r>
        <w:t xml:space="preserve"> </w:t>
      </w:r>
      <w:r>
        <w:rPr>
          <w:bCs/>
          <w:b/>
        </w:rPr>
        <w:t xml:space="preserve">Lawyer</w:t>
      </w:r>
      <w:r>
        <w:t xml:space="preserve"> </w:t>
      </w:r>
      <w:r>
        <w:t xml:space="preserve">firm with deep local expertise. Our Sales Report identifies that clients in Tehran prioritize three critical factors when selecting legal representation: regulatory navigation proficiency, multilingual capability (Persian/English/French), and proven success in navigating Iran's unique judicial framework.</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Cases Handled (Tehran)</w:t>
      </w:r>
    </w:p>
    <w:p>
      <w:pPr>
        <w:pStyle w:val="BodyText"/>
      </w:pPr>
      <w:r>
        <w:t xml:space="preserve">147</w:t>
      </w:r>
    </w:p>
    <w:p>
      <w:pPr>
        <w:pStyle w:val="BodyText"/>
      </w:pPr>
      <w:r>
        <w:t xml:space="preserve">119</w:t>
      </w:r>
    </w:p>
    <w:p>
      <w:pPr>
        <w:pStyle w:val="BodyText"/>
      </w:pPr>
      <w:r>
        <w:t xml:space="preserve">+23.5%</w:t>
      </w:r>
    </w:p>
    <w:p>
      <w:pPr>
        <w:pStyle w:val="BodyText"/>
      </w:pPr>
      <w:r>
        <w:t xml:space="preserve">Avg. Deal Value (USD)</w:t>
      </w:r>
    </w:p>
    <w:p>
      <w:pPr>
        <w:pStyle w:val="BodyText"/>
      </w:pPr>
      <w:r>
        <w:t xml:space="preserve">$85,400</w:t>
      </w:r>
    </w:p>
    <w:p>
      <w:pPr>
        <w:pStyle w:val="BodyText"/>
      </w:pPr>
      <w:r>
        <w:t xml:space="preserve">$76,200</w:t>
      </w:r>
    </w:p>
    <w:p>
      <w:pPr>
        <w:pStyle w:val="BodyText"/>
      </w:pPr>
      <w:r>
        <w:t xml:space="preserve">Revenue Generated (Tehran)</w:t>
      </w:r>
    </w:p>
    <w:p>
      <w:pPr>
        <w:pStyle w:val="BodyText"/>
      </w:pPr>
      <w:r>
        <w:t xml:space="preserve">$12.5M</w:t>
      </w:r>
    </w:p>
    <w:p>
      <w:pPr>
        <w:pStyle w:val="BodyText"/>
      </w:pPr>
      <w:r>
        <w:t xml:space="preserve">$9.9M</w:t>
      </w:r>
    </w:p>
    <w:p>
      <w:pPr>
        <w:pStyle w:val="BodyText"/>
      </w:pPr>
      <w:r>
        <w:t xml:space="preserve">+26.3%</w:t>
      </w:r>
    </w:p>
    <w:p>
      <w:pPr>
        <w:pStyle w:val="BodyText"/>
      </w:pPr>
      <w:r>
        <w:t xml:space="preserve">Client Retention Rate</w:t>
      </w:r>
    </w:p>
    <w:p>
      <w:pPr>
        <w:pStyle w:val="BodyText"/>
      </w:pPr>
      <w:r>
        <w:t xml:space="preserve">84%</w:t>
      </w:r>
    </w:p>
    <w:p>
      <w:pPr>
        <w:pStyle w:val="BodyText"/>
      </w:pPr>
      <w:r>
        <w:t xml:space="preserve">77%</w:t>
      </w:r>
    </w:p>
    <w:p>
      <w:pPr>
        <w:pStyle w:val="BodyText"/>
      </w:pPr>
      <w:r>
        <w:t xml:space="preserve">+7 pts.</w:t>
      </w:r>
    </w:p>
    <w:p>
      <w:pPr>
        <w:pStyle w:val="BodyText"/>
      </w:pPr>
      <w:r>
        <w:t xml:space="preserve">New Client Acquisition (Tehran)</w:t>
      </w:r>
    </w:p>
    <w:p>
      <w:pPr>
        <w:pStyle w:val="BodyText"/>
      </w:pPr>
      <w:r>
        <w:t xml:space="preserve">52</w:t>
      </w:r>
    </w:p>
    <w:p>
      <w:pPr>
        <w:pStyle w:val="BodyText"/>
      </w:pPr>
      <w:r>
        <w:t xml:space="preserve">The data reveals that our firm's strategic focus on Tehran-specific market needs has directly contributed to these gains. The 26.3% revenue surge aligns with the growing demand for specialized legal counsel in Iran's financial and commercial hubs, particularly within Tehran's International Financial Center (TIFC) zone.</w:t>
      </w:r>
    </w:p>
    <w:bookmarkEnd w:id="22"/>
    <w:bookmarkStart w:id="26" w:name="X9853e7adf680141047d867b3f01549c3150d870"/>
    <w:p>
      <w:pPr>
        <w:pStyle w:val="Heading2"/>
      </w:pPr>
      <w:r>
        <w:t xml:space="preserve">IV. Breakdown by Practice Area Performance</w:t>
      </w:r>
    </w:p>
    <w:bookmarkStart w:id="23" w:name="X1375aa41ee1f8e76efe3ff9a88f7dccda9e9bc2"/>
    <w:p>
      <w:pPr>
        <w:pStyle w:val="Heading3"/>
      </w:pPr>
      <w:r>
        <w:t xml:space="preserve">A. Commercial Disputes (Largest Revenue Segment)</w:t>
      </w:r>
    </w:p>
    <w:p>
      <w:pPr>
        <w:pStyle w:val="FirstParagraph"/>
      </w:pPr>
      <w:r>
        <w:t xml:space="preserve">Accounting for 42% of total revenue, this segment saw a 31% increase in Tehran cases involving foreign investment contracts and joint ventures. Our lead</w:t>
      </w:r>
      <w:r>
        <w:t xml:space="preserve"> </w:t>
      </w:r>
      <w:r>
        <w:rPr>
          <w:bCs/>
          <w:b/>
        </w:rPr>
        <w:t xml:space="preserve">Lawyer</w:t>
      </w:r>
      <w:r>
        <w:t xml:space="preserve">, Ms. Fatemeh Rostami, secured seven major cases with multinational firms navigating Iran's recent Foreign Investment Act amendments. The Sales Report notes that clients specifically sought her expertise in interpreting Article 28 of the Commercial Code regarding cross-border enforcement.</w:t>
      </w:r>
    </w:p>
    <w:bookmarkEnd w:id="23"/>
    <w:bookmarkStart w:id="24" w:name="b.-compliance-sanctions-advisory"/>
    <w:p>
      <w:pPr>
        <w:pStyle w:val="Heading3"/>
      </w:pPr>
      <w:r>
        <w:t xml:space="preserve">B. Compliance &amp; Sanctions Advisory</w:t>
      </w:r>
    </w:p>
    <w:p>
      <w:pPr>
        <w:pStyle w:val="FirstParagraph"/>
      </w:pPr>
      <w:r>
        <w:t xml:space="preserve">With global sanctions remaining a critical concern for businesses operating in Iran, this practice area grew by 45% YoY. The Tehran office handled 19 high-risk compliance cases, including two landmark advisory opinions on the U.S. Iran Threat Reduction Act. Our Sales Report emphasizes that these engagements generated $3.8M in revenue—proof that specialized legal expertise commands premium pricing in Iran Tehran's market.</w:t>
      </w:r>
    </w:p>
    <w:bookmarkEnd w:id="24"/>
    <w:bookmarkStart w:id="25" w:name="c.-intellectual-property-technology-law"/>
    <w:p>
      <w:pPr>
        <w:pStyle w:val="Heading3"/>
      </w:pPr>
      <w:r>
        <w:t xml:space="preserve">C. Intellectual Property &amp; Technology Law</w:t>
      </w:r>
    </w:p>
    <w:p>
      <w:pPr>
        <w:pStyle w:val="FirstParagraph"/>
      </w:pPr>
      <w:r>
        <w:t xml:space="preserve">Emerging as a high-growth segment (62% YoY increase), this area reflects Tehran's booming tech ecosystem. The Sales Report highlights our successful representation of three fintech startups in patent disputes at Tehran's Commercial Court, directly contributing to our 14% market share growth in IP litigation within Iran.</w:t>
      </w:r>
    </w:p>
    <w:bookmarkEnd w:id="25"/>
    <w:bookmarkEnd w:id="26"/>
    <w:bookmarkStart w:id="27" w:name="X30d599a6bff9e217aa8d5cbed223129c91e68bb"/>
    <w:p>
      <w:pPr>
        <w:pStyle w:val="Heading2"/>
      </w:pPr>
      <w:r>
        <w:t xml:space="preserve">V. Client Acquisition Strategy: Why Iran Tehran Matters</w:t>
      </w:r>
    </w:p>
    <w:p>
      <w:pPr>
        <w:pStyle w:val="FirstParagraph"/>
      </w:pPr>
      <w:r>
        <w:t xml:space="preserve">Our sales strategy for the</w:t>
      </w:r>
      <w:r>
        <w:t xml:space="preserve"> </w:t>
      </w:r>
      <w:r>
        <w:rPr>
          <w:bCs/>
          <w:b/>
        </w:rPr>
        <w:t xml:space="preserve">Iran Tehran</w:t>
      </w:r>
      <w:r>
        <w:t xml:space="preserve"> </w:t>
      </w:r>
      <w:r>
        <w:t xml:space="preserve">market centers on hyper-localized engagement. Unlike national competitors, we maintain a dedicated Tehran-based sales team that conducts monthly industry roundtables at locations including the Chamber of Commerce (Tehran) and EIKO Business Park. The Sales Report demonstrates this approach generated 52 new clients in Q3—41% through referrals from existing Tehran-based corporate clients. Key insight: 89% of new Tehran clients chose us specifically for our local judicial network access, a capability the Sales Report identifies as non-negotiable for successful legal outcomes.</w:t>
      </w:r>
    </w:p>
    <w:bookmarkEnd w:id="27"/>
    <w:bookmarkStart w:id="28" w:name="vi.-challenges-in-iran-tehran-market"/>
    <w:p>
      <w:pPr>
        <w:pStyle w:val="Heading2"/>
      </w:pPr>
      <w:r>
        <w:t xml:space="preserve">VI. Challenges in Iran Tehran Market</w:t>
      </w:r>
    </w:p>
    <w:p>
      <w:pPr>
        <w:pStyle w:val="FirstParagraph"/>
      </w:pPr>
      <w:r>
        <w:t xml:space="preserve">The Sales Report candidly addresses two critical hurdles: First, prolonged court backlog (averaging 18 months for commercial cases) requires our</w:t>
      </w:r>
      <w:r>
        <w:t xml:space="preserve"> </w:t>
      </w:r>
      <w:r>
        <w:rPr>
          <w:bCs/>
          <w:b/>
        </w:rPr>
        <w:t xml:space="preserve">Lawyer</w:t>
      </w:r>
      <w:r>
        <w:t xml:space="preserve"> </w:t>
      </w:r>
      <w:r>
        <w:t xml:space="preserve">team to implement creative dispute resolution strategies—73% of Q3 cases resolved through mediation instead of litigation. Second, currency volatility impacts pricing transparency; we now use a dynamic USD-based pricing model for Tehran contracts, which the Sales Report credits with preventing client attrition during Q2's Rial devaluation.</w:t>
      </w:r>
    </w:p>
    <w:bookmarkEnd w:id="28"/>
    <w:bookmarkStart w:id="29" w:name="X73d355e34fb3ebefb8d727b3d56aa98eb146af2"/>
    <w:p>
      <w:pPr>
        <w:pStyle w:val="Heading2"/>
      </w:pPr>
      <w:r>
        <w:t xml:space="preserve">VII. Strategic Recommendations for Q4 2023</w:t>
      </w:r>
    </w:p>
    <w:p>
      <w:pPr>
        <w:numPr>
          <w:ilvl w:val="0"/>
          <w:numId w:val="1001"/>
        </w:numPr>
        <w:pStyle w:val="Compact"/>
      </w:pPr>
      <w:r>
        <w:rPr>
          <w:bCs/>
          <w:b/>
        </w:rPr>
        <w:t xml:space="preserve">Expand Tehran Satellite Office:</w:t>
      </w:r>
      <w:r>
        <w:t xml:space="preserve"> </w:t>
      </w:r>
      <w:r>
        <w:t xml:space="preserve">Establish a branch in Karaj (Tehran's industrial corridor) to capture emerging manufacturing sector clients, projected to grow by 19% annually according to the Tehran Chamber of Commerce.</w:t>
      </w:r>
    </w:p>
    <w:p>
      <w:pPr>
        <w:numPr>
          <w:ilvl w:val="0"/>
          <w:numId w:val="1001"/>
        </w:numPr>
        <w:pStyle w:val="Compact"/>
      </w:pPr>
      <w:r>
        <w:rPr>
          <w:bCs/>
          <w:b/>
        </w:rPr>
        <w:t xml:space="preserve">Develop Sanctions Compliance Certification:</w:t>
      </w:r>
      <w:r>
        <w:t xml:space="preserve"> </w:t>
      </w:r>
      <w:r>
        <w:t xml:space="preserve">Create a standardized training program for foreign clients operating in Iran, directly addressing the top sales objection identified in Q3 client surveys (57% cited "uncertainty about sanctions compliance" as primary concern).</w:t>
      </w:r>
    </w:p>
    <w:p>
      <w:pPr>
        <w:numPr>
          <w:ilvl w:val="0"/>
          <w:numId w:val="1001"/>
        </w:numPr>
        <w:pStyle w:val="Compact"/>
      </w:pPr>
      <w:r>
        <w:rPr>
          <w:bCs/>
          <w:b/>
        </w:rPr>
        <w:t xml:space="preserve">Leverage Tehran's Digital Transformation:</w:t>
      </w:r>
      <w:r>
        <w:t xml:space="preserve"> </w:t>
      </w:r>
      <w:r>
        <w:t xml:space="preserve">Partner with Iranian e-justice platforms to develop a digital case-tracking portal for Tehran clients, enhancing transparency—this feature was requested by 68% of Q3 new clients.</w:t>
      </w:r>
    </w:p>
    <w:bookmarkEnd w:id="29"/>
    <w:bookmarkStart w:id="30" w:name="X1534d45e01c90fc309f80c428038d93ff7815cd"/>
    <w:p>
      <w:pPr>
        <w:pStyle w:val="Heading2"/>
      </w:pPr>
      <w:r>
        <w:t xml:space="preserve">VIII. Conclusion: The Iran Tehran Advantage</w:t>
      </w:r>
    </w:p>
    <w:p>
      <w:pPr>
        <w:pStyle w:val="FirstParagraph"/>
      </w:pPr>
      <w:r>
        <w:t xml:space="preserve">This Sales Report confirms that our focused strategy in Iran Tehran has created a sustainable competitive advantage. The data unequivocally shows that when legal services are tailored to the specific regulatory and cultural nuances of Tehran, firms achieve superior sales outcomes. Our success proves that being a trusted</w:t>
      </w:r>
      <w:r>
        <w:t xml:space="preserve"> </w:t>
      </w:r>
      <w:r>
        <w:rPr>
          <w:bCs/>
          <w:b/>
        </w:rPr>
        <w:t xml:space="preserve">Lawyer</w:t>
      </w:r>
      <w:r>
        <w:t xml:space="preserve"> </w:t>
      </w:r>
      <w:r>
        <w:t xml:space="preserve">in Iran's capital requires more than technical expertise—it demands an intimate understanding of Tehran's commercial ecosystem, judicial rhythms, and client expectations. As we enter 2024, our Sales Report framework will evolve to include real-time data from the Tehran Commercial Court to further refine our service offerings. The numbers don't lie: for legal services in Iran, the future is undeniably rooted in Tehran.</w:t>
      </w:r>
    </w:p>
    <w:p>
      <w:pPr>
        <w:pStyle w:val="BodyText"/>
      </w:pPr>
      <w:r>
        <w:rPr>
          <w:bCs/>
          <w:b/>
        </w:rPr>
        <w:t xml:space="preserve">Appendix:</w:t>
      </w:r>
      <w:r>
        <w:t xml:space="preserve"> </w:t>
      </w:r>
      <w:r>
        <w:t xml:space="preserve">All metrics validated by Iranian Ministry of Justice Transaction Records (2023 Q3) and verified through client satisfaction surveys conducted across 145 Tehran-based enterprises.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Legal Services Performance in Iran Tehran</dc:title>
  <dc:creator/>
  <dc:language>en</dc:language>
  <cp:keywords/>
  <dcterms:created xsi:type="dcterms:W3CDTF">2026-07-23T13:18:26Z</dcterms:created>
  <dcterms:modified xsi:type="dcterms:W3CDTF">2026-07-23T13:18:26Z</dcterms:modified>
</cp:coreProperties>
</file>

<file path=docProps/custom.xml><?xml version="1.0" encoding="utf-8"?>
<Properties xmlns="http://schemas.openxmlformats.org/officeDocument/2006/custom-properties" xmlns:vt="http://schemas.openxmlformats.org/officeDocument/2006/docPropsVTypes"/>
</file>