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Services</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8" w:name="X3ac10474f2a971a53c7478008f2d20a8c2b6882"/>
    <w:p>
      <w:pPr>
        <w:pStyle w:val="Heading1"/>
      </w:pPr>
      <w:r>
        <w:t xml:space="preserve">Annual Sales Report: Premium Legal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Partners, Jerusalem Legal Consortium</w:t>
      </w:r>
      <w:r>
        <w:br/>
      </w:r>
      <w:r>
        <w:rPr>
          <w:bCs/>
          <w:b/>
        </w:rPr>
        <w:t xml:space="preserve">Purpose:</w:t>
      </w:r>
      <w:r>
        <w:t xml:space="preserve"> </w:t>
      </w:r>
      <w:r>
        <w:t xml:space="preserve">Comprehensive Analysis of Client Acquisition and Service Delivery Metrics for Law Firm Operations in Israel Jerusalem</w:t>
      </w:r>
    </w:p>
    <w:bookmarkStart w:id="20" w:name="executive-summary"/>
    <w:p>
      <w:pPr>
        <w:pStyle w:val="Heading2"/>
      </w:pPr>
      <w:r>
        <w:t xml:space="preserve">Executive Summary</w:t>
      </w:r>
    </w:p>
    <w:p>
      <w:pPr>
        <w:pStyle w:val="FirstParagraph"/>
      </w:pPr>
      <w:r>
        <w:t xml:space="preserve">This Sales Report details the performance of our legal practice across Israel Jerusalem during Q1-Q3 2023. The report confirms a 37% year-over-year increase in client acquisition, with Jerusalem serving as the strategic hub for all operations in Israel. Our dedicated</w:t>
      </w:r>
      <w:r>
        <w:t xml:space="preserve"> </w:t>
      </w:r>
      <w:r>
        <w:rPr>
          <w:bCs/>
          <w:b/>
        </w:rPr>
        <w:t xml:space="preserve">Lawyer</w:t>
      </w:r>
      <w:r>
        <w:t xml:space="preserve"> </w:t>
      </w:r>
      <w:r>
        <w:t xml:space="preserve">team has successfully secured 147 new cases through targeted outreach, positioning us as the premier legal provider in</w:t>
      </w:r>
      <w:r>
        <w:t xml:space="preserve"> </w:t>
      </w:r>
      <w:r>
        <w:rPr>
          <w:bCs/>
          <w:b/>
        </w:rPr>
        <w:t xml:space="preserve">Israel Jerusalem</w:t>
      </w:r>
      <w:r>
        <w:t xml:space="preserve">. Revenue from Jerusalem-based clients now constitutes 89% of total firm income, validating our market-entry strategy. The data underscores the critical importance of localized expertise in navigating Israel's complex legal landscape, particularly within the Jerusalem jurisdiction.</w:t>
      </w:r>
    </w:p>
    <w:bookmarkEnd w:id="20"/>
    <w:bookmarkStart w:id="21" w:name="Xaf473993c2e482f91dc9b44c577efd32b2a8ca9"/>
    <w:p>
      <w:pPr>
        <w:pStyle w:val="Heading2"/>
      </w:pPr>
      <w:r>
        <w:t xml:space="preserve">Market Context: Why Israel Jerusalem Demands Specialized Legal Services</w:t>
      </w:r>
    </w:p>
    <w:p>
      <w:pPr>
        <w:pStyle w:val="FirstParagraph"/>
      </w:pPr>
      <w:r>
        <w:t xml:space="preserve">Jerusalem's unique status as a cultural, religious, and legal crossroads creates exceptional demand for nuanced legal representation. As the capital of Israel with disputed sovereignty, cases here involve intricate interplay between Israeli law, international agreements, and local customs. A competent</w:t>
      </w:r>
      <w:r>
        <w:t xml:space="preserve"> </w:t>
      </w:r>
      <w:r>
        <w:rPr>
          <w:bCs/>
          <w:b/>
        </w:rPr>
        <w:t xml:space="preserve">Lawyer</w:t>
      </w:r>
      <w:r>
        <w:t xml:space="preserve"> </w:t>
      </w:r>
      <w:r>
        <w:t xml:space="preserve">operating in Israel Jerusalem must master three critical domains: civil litigation under Israeli courts, property law tied to historic neighborhoods (e.g., Old City), and cross-border disputes involving foreign nationals. Our Sales Report confirms that 78% of new client inquiries specifically cite "Jerusalem jurisdiction expertise" as the decisive factor in engagement – a metric directly linked to our firm's local presence.</w:t>
      </w:r>
    </w:p>
    <w:bookmarkEnd w:id="21"/>
    <w:bookmarkStart w:id="22" w:name="X0bbc35704a8cf669168f5f926c4f5164568a3cf"/>
    <w:p>
      <w:pPr>
        <w:pStyle w:val="Heading2"/>
      </w:pPr>
      <w:r>
        <w:t xml:space="preserve">Key Performance Indicators: Israel Jerusalem Client Acquisition</w:t>
      </w:r>
    </w:p>
    <w:p>
      <w:pPr>
        <w:pStyle w:val="FirstParagraph"/>
      </w:pPr>
      <w:r>
        <w:t xml:space="preserve">Metrics</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New Clients (Jerusalem-Based)</w:t>
      </w:r>
    </w:p>
    <w:p>
      <w:pPr>
        <w:pStyle w:val="BodyText"/>
      </w:pPr>
      <w:r>
        <w:t xml:space="preserve">89</w:t>
      </w:r>
    </w:p>
    <w:p>
      <w:pPr>
        <w:pStyle w:val="BodyText"/>
      </w:pPr>
      <w:r>
        <w:t xml:space="preserve">147</w:t>
      </w:r>
    </w:p>
    <w:p>
      <w:pPr>
        <w:pStyle w:val="BodyText"/>
      </w:pPr>
      <w:r>
        <w:t xml:space="preserve">+65.2%</w:t>
      </w:r>
    </w:p>
    <w:p>
      <w:pPr>
        <w:pStyle w:val="BodyText"/>
      </w:pPr>
      <w:r>
        <w:t xml:space="preserve">Average Case Value (ILS)</w:t>
      </w:r>
    </w:p>
    <w:p>
      <w:pPr>
        <w:pStyle w:val="BodyText"/>
      </w:pPr>
      <w:r>
        <w:t xml:space="preserve">185,000</w:t>
      </w:r>
    </w:p>
    <w:p>
      <w:pPr>
        <w:pStyle w:val="BodyText"/>
      </w:pPr>
      <w:r>
        <w:t xml:space="preserve">237,500</w:t>
      </w:r>
    </w:p>
    <w:p>
      <w:pPr>
        <w:pStyle w:val="BodyText"/>
      </w:pPr>
      <w:r>
        <w:t xml:space="preserve">+28.4%</w:t>
      </w:r>
    </w:p>
    <w:p>
      <w:pPr>
        <w:pStyle w:val="BodyText"/>
      </w:pPr>
      <w:r>
        <w:t xml:space="preserve">Client Retention Rate (Jerusalem)</w:t>
      </w:r>
    </w:p>
    <w:p>
      <w:pPr>
        <w:pStyle w:val="BodyText"/>
      </w:pPr>
      <w:r>
        <w:t xml:space="preserve">68%</w:t>
      </w:r>
    </w:p>
    <w:p>
      <w:pPr>
        <w:pStyle w:val="BodyText"/>
      </w:pPr>
      <w:r>
        <w:t xml:space="preserve">84%</w:t>
      </w:r>
    </w:p>
    <w:p>
      <w:pPr>
        <w:pStyle w:val="BodyText"/>
      </w:pPr>
      <w:r>
        <w:t xml:space="preserve">*Driven by specialized Jerusalem-focused legal solutions</w:t>
      </w:r>
    </w:p>
    <w:p>
      <w:pPr>
        <w:pStyle w:val="BodyText"/>
      </w:pPr>
      <w:r>
        <w:t xml:space="preserve">The Sales Report reveals a paradigm shift: Clients now actively seek firms with demonstrable experience in Israel Jerusalem's municipal court system and land registry. For instance, 62% of new commercial real estate clients were referred by existing Jerusalem-based businesses – a metric that has surged 41% since our firm established the Central District Legal Office in downtown Jerusalem. This growth directly correlates with our</w:t>
      </w:r>
      <w:r>
        <w:t xml:space="preserve"> </w:t>
      </w:r>
      <w:r>
        <w:rPr>
          <w:bCs/>
          <w:b/>
        </w:rPr>
        <w:t xml:space="preserve">Lawyer</w:t>
      </w:r>
      <w:r>
        <w:t xml:space="preserve"> </w:t>
      </w:r>
      <w:r>
        <w:t xml:space="preserve">team's deep familiarity with neighborhood-specific regulations (e.g., permits for construction near Jewish holy sites or Palestinian-owned properties in East Jerusalem).</w:t>
      </w:r>
    </w:p>
    <w:bookmarkEnd w:id="22"/>
    <w:bookmarkStart w:id="23" w:name="service-portfolio-performance-analysis"/>
    <w:p>
      <w:pPr>
        <w:pStyle w:val="Heading2"/>
      </w:pPr>
      <w:r>
        <w:t xml:space="preserve">Service Portfolio Performance Analysis</w:t>
      </w:r>
    </w:p>
    <w:p>
      <w:pPr>
        <w:pStyle w:val="FirstParagraph"/>
      </w:pPr>
      <w:r>
        <w:rPr>
          <w:bCs/>
          <w:b/>
        </w:rPr>
        <w:t xml:space="preserve">Civil Litigation (Jerusalem Focus):</w:t>
      </w:r>
      <w:r>
        <w:t xml:space="preserve"> </w:t>
      </w:r>
      <w:r>
        <w:t xml:space="preserve">Accounted for 43% of new cases. The Sales Report highlights a 58% increase in contractual disputes involving foreign investors – often stemming from unclear terms related to Jerusalem real estate. Our</w:t>
      </w:r>
      <w:r>
        <w:t xml:space="preserve"> </w:t>
      </w:r>
      <w:r>
        <w:rPr>
          <w:bCs/>
          <w:b/>
        </w:rPr>
        <w:t xml:space="preserve">Lawyer</w:t>
      </w:r>
      <w:r>
        <w:t xml:space="preserve"> </w:t>
      </w:r>
      <w:r>
        <w:t xml:space="preserve">team's success here stems from drafting clauses addressing Israel Jerusalem's unique property laws, avoiding costly litigation.</w:t>
      </w:r>
    </w:p>
    <w:p>
      <w:pPr>
        <w:pStyle w:val="BodyText"/>
      </w:pPr>
      <w:r>
        <w:rPr>
          <w:bCs/>
          <w:b/>
        </w:rPr>
        <w:t xml:space="preserve">Family Law &amp; International Divorce:</w:t>
      </w:r>
      <w:r>
        <w:t xml:space="preserve"> </w:t>
      </w:r>
      <w:r>
        <w:t xml:space="preserve">Saw 32% growth, driven by foreign nationals seeking jurisdiction in Jerusalem for custody matters. A pivotal case involved a German-Israeli family where our</w:t>
      </w:r>
      <w:r>
        <w:t xml:space="preserve"> </w:t>
      </w:r>
      <w:r>
        <w:rPr>
          <w:bCs/>
          <w:b/>
        </w:rPr>
        <w:t xml:space="preserve">Lawyer</w:t>
      </w:r>
      <w:r>
        <w:t xml:space="preserve"> </w:t>
      </w:r>
      <w:r>
        <w:t xml:space="preserve">leveraged Jerusalem's dual court system to secure favorable terms under both Israeli and EU law – resulting in a 300% revenue uplift versus standard cases.</w:t>
      </w:r>
    </w:p>
    <w:p>
      <w:pPr>
        <w:pStyle w:val="BodyText"/>
      </w:pPr>
      <w:r>
        <w:rPr>
          <w:bCs/>
          <w:b/>
        </w:rPr>
        <w:t xml:space="preserve">Intellectual Property &amp; Startup Legal:</w:t>
      </w:r>
      <w:r>
        <w:t xml:space="preserve"> </w:t>
      </w:r>
      <w:r>
        <w:t xml:space="preserve">Critical for Jerusalem's growing tech sector. The Sales Report notes a 77% spike in patent filings for AI startups operating from the Jerusalem Innovation Hub, with our firm handling 89% of these registrations. This success stems from understanding Israel's national IP authority protocols specific to Jerusalem-based entities.</w:t>
      </w:r>
    </w:p>
    <w:bookmarkEnd w:id="23"/>
    <w:bookmarkStart w:id="24" w:name="X6b2c49bfc432407ad6f85be8cf75313540f2f80"/>
    <w:p>
      <w:pPr>
        <w:pStyle w:val="Heading2"/>
      </w:pPr>
      <w:r>
        <w:t xml:space="preserve">Competitive Differentiation: Why Israel Jerusalem Matters</w:t>
      </w:r>
    </w:p>
    <w:p>
      <w:pPr>
        <w:pStyle w:val="FirstParagraph"/>
      </w:pPr>
      <w:r>
        <w:t xml:space="preserve">Our Sales Report quantifies how location expertise drives revenue. Competitors without on-ground presence in Israel Jerusalem face 63% higher client acquisition costs due to misjudging jurisdictional requirements. For example, a recent property dispute in Mea Shearim required navigating both municipal zoning laws and religious court precedents – a scenario where our Jerusalem-based</w:t>
      </w:r>
      <w:r>
        <w:t xml:space="preserve"> </w:t>
      </w:r>
      <w:r>
        <w:rPr>
          <w:bCs/>
          <w:b/>
        </w:rPr>
        <w:t xml:space="preserve">Lawyer</w:t>
      </w:r>
      <w:r>
        <w:t xml:space="preserve"> </w:t>
      </w:r>
      <w:r>
        <w:t xml:space="preserve">resolved the case 22 days faster than national competitors. This efficiency translates directly to client retention: 91% of cases with localized legal strategy resulted in repeat business, compared to 49% for non-localized teams.</w:t>
      </w:r>
    </w:p>
    <w:bookmarkEnd w:id="24"/>
    <w:bookmarkStart w:id="25" w:name="Xd0c47246c6f9da69ec9fc0ac549e1622cf6e230"/>
    <w:p>
      <w:pPr>
        <w:pStyle w:val="Heading2"/>
      </w:pPr>
      <w:r>
        <w:t xml:space="preserve">Challenges in Israel Jerusalem's Legal Market</w:t>
      </w:r>
    </w:p>
    <w:p>
      <w:pPr>
        <w:pStyle w:val="FirstParagraph"/>
      </w:pPr>
      <w:r>
        <w:t xml:space="preserve">The Sales Report identifies two acute challenges requiring strategic adjustment:</w:t>
      </w:r>
    </w:p>
    <w:p>
      <w:pPr>
        <w:numPr>
          <w:ilvl w:val="0"/>
          <w:numId w:val="1001"/>
        </w:numPr>
        <w:pStyle w:val="Compact"/>
      </w:pPr>
      <w:r>
        <w:rPr>
          <w:bCs/>
          <w:b/>
        </w:rPr>
        <w:t xml:space="preserve">Regulatory Complexity:</w:t>
      </w:r>
      <w:r>
        <w:t xml:space="preserve"> </w:t>
      </w:r>
      <w:r>
        <w:t xml:space="preserve">Evolving municipal laws in East Jerusalem demand constant adaptation. In Q3 2023, 14 cases were delayed due to unanticipated land registry changes – prompting us to invest in a dedicated Israel Jerusalem Regulatory Monitor team.</w:t>
      </w:r>
    </w:p>
    <w:p>
      <w:pPr>
        <w:numPr>
          <w:ilvl w:val="0"/>
          <w:numId w:val="1001"/>
        </w:numPr>
        <w:pStyle w:val="Compact"/>
      </w:pPr>
      <w:r>
        <w:rPr>
          <w:bCs/>
          <w:b/>
        </w:rPr>
        <w:t xml:space="preserve">Client Trust Barriers:</w:t>
      </w:r>
      <w:r>
        <w:t xml:space="preserve"> </w:t>
      </w:r>
      <w:r>
        <w:t xml:space="preserve">Foreign clients often distrust firms without physical presence in Jerusalem. Our Sales Report shows that firms with Jerusalem offices secure 3.2x more high-value cases from international clients than virtual-only competitors.</w:t>
      </w:r>
    </w:p>
    <w:bookmarkEnd w:id="25"/>
    <w:bookmarkStart w:id="26" w:name="strategic-recommendations"/>
    <w:p>
      <w:pPr>
        <w:pStyle w:val="Heading2"/>
      </w:pPr>
      <w:r>
        <w:t xml:space="preserve">Strategic Recommendations</w:t>
      </w:r>
    </w:p>
    <w:p>
      <w:pPr>
        <w:pStyle w:val="FirstParagraph"/>
      </w:pPr>
      <w:r>
        <w:t xml:space="preserve">Based on this Sales Report, we propose:</w:t>
      </w:r>
    </w:p>
    <w:p>
      <w:pPr>
        <w:numPr>
          <w:ilvl w:val="0"/>
          <w:numId w:val="1002"/>
        </w:numPr>
        <w:pStyle w:val="Compact"/>
      </w:pPr>
      <w:r>
        <w:rPr>
          <w:bCs/>
          <w:b/>
        </w:rPr>
        <w:t xml:space="preserve">Expand Jerusalem Legal Hub:</w:t>
      </w:r>
      <w:r>
        <w:t xml:space="preserve"> </w:t>
      </w:r>
      <w:r>
        <w:t xml:space="preserve">Allocate 15% of Q4 revenue to establish satellite offices in Sheikh Jarrah and Silwan – neighborhoods representing 37% of unmet market demand for Israel Jerusalem legal services.</w:t>
      </w:r>
    </w:p>
    <w:p>
      <w:pPr>
        <w:numPr>
          <w:ilvl w:val="0"/>
          <w:numId w:val="1002"/>
        </w:numPr>
        <w:pStyle w:val="Compact"/>
      </w:pPr>
      <w:r>
        <w:rPr>
          <w:bCs/>
          <w:b/>
        </w:rPr>
        <w:t xml:space="preserve">Jerusalem-Specific Training:</w:t>
      </w:r>
      <w:r>
        <w:t xml:space="preserve"> </w:t>
      </w:r>
      <w:r>
        <w:t xml:space="preserve">Mandatory certification program for all</w:t>
      </w:r>
      <w:r>
        <w:t xml:space="preserve"> </w:t>
      </w:r>
      <w:r>
        <w:rPr>
          <w:bCs/>
          <w:b/>
        </w:rPr>
        <w:t xml:space="preserve">Lawyer</w:t>
      </w:r>
      <w:r>
        <w:t xml:space="preserve">s covering Jerusalem municipal court procedures, with focus on contested heritage properties.</w:t>
      </w:r>
    </w:p>
    <w:p>
      <w:pPr>
        <w:numPr>
          <w:ilvl w:val="0"/>
          <w:numId w:val="1002"/>
        </w:numPr>
        <w:pStyle w:val="Compact"/>
      </w:pPr>
      <w:r>
        <w:rPr>
          <w:bCs/>
          <w:b/>
        </w:rPr>
        <w:t xml:space="preserve">Digital Client Acquisition:</w:t>
      </w:r>
      <w:r>
        <w:t xml:space="preserve"> </w:t>
      </w:r>
      <w:r>
        <w:t xml:space="preserve">Launch "Jerusalem Legal Navigator" portal providing real-time updates on Jerusalem-specific regulations – projected to reduce client acquisition time by 35%.</w:t>
      </w:r>
    </w:p>
    <w:bookmarkEnd w:id="26"/>
    <w:bookmarkStart w:id="27" w:name="X59fc20ee32e4188762a53ade8ee892a60ccdc73"/>
    <w:p>
      <w:pPr>
        <w:pStyle w:val="Heading2"/>
      </w:pPr>
      <w:r>
        <w:t xml:space="preserve">Conclusion: The Israel Jerusalem Imperative</w:t>
      </w:r>
    </w:p>
    <w:p>
      <w:pPr>
        <w:pStyle w:val="FirstParagraph"/>
      </w:pPr>
      <w:r>
        <w:t xml:space="preserve">This Sales Report unequivocally demonstrates that for legal service providers in Israel, operational presence in Jerusalem is not merely advantageous – it's the cornerstone of market leadership. Our firm's 37% growth trajectory proves that clients prioritize jurisdictional mastery over generic legal expertise. As a premier</w:t>
      </w:r>
      <w:r>
        <w:t xml:space="preserve"> </w:t>
      </w:r>
      <w:r>
        <w:rPr>
          <w:bCs/>
          <w:b/>
        </w:rPr>
        <w:t xml:space="preserve">Lawyer</w:t>
      </w:r>
      <w:r>
        <w:t xml:space="preserve"> </w:t>
      </w:r>
      <w:r>
        <w:t xml:space="preserve">team operating within Israel Jerusalem, we have built a replicable model: deep local knowledge drives client acquisition, elevates case value, and creates sustainable competitive advantage. The data demands continued investment in our Jerusalem infrastructure – because in the intricate legal landscape of Israel Jerusalem, expertise isn't optional; it's the only path to success.</w:t>
      </w:r>
    </w:p>
    <w:p>
      <w:pPr>
        <w:pStyle w:val="BodyText"/>
      </w:pPr>
      <w:r>
        <w:rPr>
          <w:bCs/>
          <w:b/>
        </w:rPr>
        <w:t xml:space="preserve">Appendix: Israel Jerusalem Market Growth Projection (2024)</w:t>
      </w:r>
      <w:r>
        <w:br/>
      </w:r>
      <w:r>
        <w:t xml:space="preserve">Projected 31% revenue growth from Jerusalem-based clients via targeted expansion into religious property law and cross-border investment disputes – directly leveraging insights from this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Sales Report: Israel Jerusalem Market</dc:title>
  <dc:creator/>
  <dc:language>en</dc:language>
  <cp:keywords/>
  <dcterms:created xsi:type="dcterms:W3CDTF">2026-07-23T13:26:33Z</dcterms:created>
  <dcterms:modified xsi:type="dcterms:W3CDTF">2026-07-23T13:26:33Z</dcterms:modified>
</cp:coreProperties>
</file>

<file path=docProps/custom.xml><?xml version="1.0" encoding="utf-8"?>
<Properties xmlns="http://schemas.openxmlformats.org/officeDocument/2006/custom-properties" xmlns:vt="http://schemas.openxmlformats.org/officeDocument/2006/docPropsVTypes"/>
</file>