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Premier</w:t>
      </w:r>
      <w:r>
        <w:t xml:space="preserve"> </w:t>
      </w:r>
      <w:r>
        <w:t xml:space="preserve">Legal</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fb8859f35442ddd7f1feba40420a1e0a21d3072"/>
    <w:p>
      <w:pPr>
        <w:pStyle w:val="Heading1"/>
      </w:pPr>
      <w:r>
        <w:t xml:space="preserve">Q3 2023 Sales Report: Strategic Growth of Legal Excellence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Legal Partners</w:t>
      </w:r>
      <w:r>
        <w:br/>
      </w:r>
      <w:r>
        <w:rPr>
          <w:bCs/>
          <w:b/>
        </w:rPr>
        <w:t xml:space="preserve">Prepared By:</w:t>
      </w:r>
      <w:r>
        <w:t xml:space="preserve"> </w:t>
      </w:r>
      <w:r>
        <w:t xml:space="preserve">Sales &amp; Strategy Department, Tel Aviv Legal Group</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strategic performance of our leading law practice in Israel Tel Aviv during the third quarter of 2023. As a premier legal services provider operating within Israel's dynamic commercial hub, we have achieved a 17% year-over-year increase in client acquisition while maintaining exceptional service quality. This report underscores how our dedicated</w:t>
      </w:r>
      <w:r>
        <w:t xml:space="preserve"> </w:t>
      </w:r>
      <w:r>
        <w:rPr>
          <w:iCs/>
          <w:i/>
        </w:rPr>
        <w:t xml:space="preserve">Lawyer</w:t>
      </w:r>
      <w:r>
        <w:t xml:space="preserve"> </w:t>
      </w:r>
      <w:r>
        <w:t xml:space="preserve">team’s expertise in Israeli corporate law, intellectual property, and cross-border transactions has positioned us as the preferred legal partner for businesses navigating Tel Aviv's complex regulatory landscape. The success of this quarter reflects our unwavering commitment to delivering tailored solutions within Israel Tel Aviv's unique economic environment.</w:t>
      </w:r>
    </w:p>
    <w:bookmarkEnd w:id="20"/>
    <w:bookmarkStart w:id="21" w:name="Xc8435c9ad5ff6658d1d0efc460e8862c08104ec"/>
    <w:p>
      <w:pPr>
        <w:pStyle w:val="Heading2"/>
      </w:pPr>
      <w:r>
        <w:t xml:space="preserve">Market Analysis: Israel Tel Aviv Legal Landscape</w:t>
      </w:r>
    </w:p>
    <w:p>
      <w:pPr>
        <w:pStyle w:val="FirstParagraph"/>
      </w:pPr>
      <w:r>
        <w:t xml:space="preserve">Israel Tel Aviv remains the nation’s undisputed center for business innovation, hosting over 60% of Israel’s Fortune 500 subsidiaries and leading startups. The Q3 market analysis confirms that legal demand in this region is driven by three key factors: (1) surge in international venture capital investments into Tel Aviv tech firms, (2) heightened regulatory scrutiny following new Israeli cybersecurity legislation, and (3) increased cross-border M&amp;A activity involving European and American entities. As a specialized</w:t>
      </w:r>
      <w:r>
        <w:t xml:space="preserve"> </w:t>
      </w:r>
      <w:r>
        <w:rPr>
          <w:iCs/>
          <w:i/>
        </w:rPr>
        <w:t xml:space="preserve">Lawyer</w:t>
      </w:r>
      <w:r>
        <w:t xml:space="preserve"> </w:t>
      </w:r>
      <w:r>
        <w:t xml:space="preserve">firm operating exclusively within Israel Tel Aviv, our localized market intelligence has been instrumental in capturing 28% of new corporate clients seeking dispute resolution services this quarter—far exceeding the industry average of 15%.</w:t>
      </w:r>
    </w:p>
    <w:bookmarkEnd w:id="21"/>
    <w:bookmarkStart w:id="22" w:name="key-sales-metrics-quantifying-success"/>
    <w:p>
      <w:pPr>
        <w:pStyle w:val="Heading2"/>
      </w:pPr>
      <w:r>
        <w:t xml:space="preserve">Key Sales Metrics: Quantifying Success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Client Acquisition (Corporate)</w:t>
      </w:r>
    </w:p>
    <w:p>
      <w:pPr>
        <w:pStyle w:val="BodyText"/>
      </w:pPr>
      <w:r>
        <w:t xml:space="preserve">47</w:t>
      </w:r>
    </w:p>
    <w:p>
      <w:pPr>
        <w:pStyle w:val="BodyText"/>
      </w:pPr>
      <w:r>
        <w:t xml:space="preserve">35</w:t>
      </w:r>
    </w:p>
    <w:p>
      <w:pPr>
        <w:pStyle w:val="BodyText"/>
      </w:pPr>
      <w:r>
        <w:t xml:space="preserve">+34.3%</w:t>
      </w:r>
    </w:p>
    <w:p>
      <w:pPr>
        <w:pStyle w:val="BodyText"/>
      </w:pPr>
      <w:r>
        <w:t xml:space="preserve">Retained Clients (Lawyer-Managed Portfolios)</w:t>
      </w:r>
    </w:p>
    <w:p>
      <w:pPr>
        <w:pStyle w:val="BodyText"/>
      </w:pPr>
      <w:r>
        <w:t xml:space="preserve">89%</w:t>
      </w:r>
    </w:p>
    <w:p>
      <w:pPr>
        <w:pStyle w:val="BodyText"/>
      </w:pPr>
      <w:r>
        <w:t xml:space="preserve">-</w:t>
      </w:r>
      <w:r>
        <w:rPr>
          <w:iCs/>
          <w:i/>
        </w:rPr>
        <w:t xml:space="preserve">(Q2: 86%)</w:t>
      </w:r>
    </w:p>
    <w:p>
      <w:pPr>
        <w:pStyle w:val="BodyText"/>
      </w:pPr>
      <w:r>
        <w:t xml:space="preserve">Total Revenue Generated</w:t>
      </w:r>
    </w:p>
    <w:p>
      <w:pPr>
        <w:pStyle w:val="BodyText"/>
      </w:pPr>
      <w:r>
        <w:t xml:space="preserve">$3.2M</w:t>
      </w:r>
    </w:p>
    <w:p>
      <w:pPr>
        <w:pStyle w:val="BodyText"/>
      </w:pPr>
      <w:r>
        <w:t xml:space="preserve">$2.7M</w:t>
      </w:r>
    </w:p>
    <w:p>
      <w:pPr>
        <w:pStyle w:val="BodyText"/>
      </w:pPr>
      <w:r>
        <w:t xml:space="preserve">+18.5%</w:t>
      </w:r>
    </w:p>
    <w:p>
      <w:pPr>
        <w:pStyle w:val="BodyText"/>
      </w:pPr>
      <w:r>
        <w:t xml:space="preserve">These figures demonstrate how our</w:t>
      </w:r>
      <w:r>
        <w:t xml:space="preserve"> </w:t>
      </w:r>
      <w:r>
        <w:rPr>
          <w:iCs/>
          <w:i/>
        </w:rPr>
        <w:t xml:space="preserve">Lawyer</w:t>
      </w:r>
      <w:r>
        <w:t xml:space="preserve"> </w:t>
      </w:r>
      <w:r>
        <w:t xml:space="preserve">teams in Israel Tel Aviv have optimized client conversion through proactive relationship management. Notably, 63% of new clients were referred through existing corporate partners—validating our reputation as trusted legal advisors within the Tel Aviv business ecosystem. The sales pipeline for international clients grew by 41%, directly attributable to our bilingual (Hebrew/English)</w:t>
      </w:r>
      <w:r>
        <w:t xml:space="preserve"> </w:t>
      </w:r>
      <w:r>
        <w:rPr>
          <w:iCs/>
          <w:i/>
        </w:rPr>
        <w:t xml:space="preserve">Lawyer</w:t>
      </w:r>
      <w:r>
        <w:t xml:space="preserve"> </w:t>
      </w:r>
      <w:r>
        <w:t xml:space="preserve">staff’s ability to bridge cultural and legal communication gaps.</w:t>
      </w:r>
    </w:p>
    <w:bookmarkEnd w:id="22"/>
    <w:bookmarkStart w:id="23" w:name="service-portfolio-performance"/>
    <w:p>
      <w:pPr>
        <w:pStyle w:val="Heading2"/>
      </w:pPr>
      <w:r>
        <w:t xml:space="preserve">Service Portfolio Performance</w:t>
      </w:r>
    </w:p>
    <w:p>
      <w:pPr>
        <w:pStyle w:val="FirstParagraph"/>
      </w:pPr>
      <w:r>
        <w:t xml:space="preserve">The Q3 results highlight exceptional performance across all service verticals, with particular strength in:</w:t>
      </w:r>
    </w:p>
    <w:p>
      <w:pPr>
        <w:numPr>
          <w:ilvl w:val="0"/>
          <w:numId w:val="1001"/>
        </w:numPr>
        <w:pStyle w:val="Compact"/>
      </w:pPr>
      <w:r>
        <w:rPr>
          <w:bCs/>
          <w:b/>
        </w:rPr>
        <w:t xml:space="preserve">Corporate Compliance:</w:t>
      </w:r>
      <w:r>
        <w:t xml:space="preserve"> </w:t>
      </w:r>
      <w:r>
        <w:t xml:space="preserve">19 new mandates from Tel Aviv-based fintech companies requiring GDPR-Israel data localization compliance. Our</w:t>
      </w:r>
      <w:r>
        <w:t xml:space="preserve"> </w:t>
      </w:r>
      <w:r>
        <w:rPr>
          <w:iCs/>
          <w:i/>
        </w:rPr>
        <w:t xml:space="preserve">Lawyer</w:t>
      </w:r>
      <w:r>
        <w:t xml:space="preserve">, Ms. Avi Cohen, secured a landmark $1.2M contract with a Fortune 500 subsidiary by demonstrating deep understanding of Israel Tel Aviv's new Anti-Money Laundering regulations.</w:t>
      </w:r>
    </w:p>
    <w:p>
      <w:pPr>
        <w:numPr>
          <w:ilvl w:val="0"/>
          <w:numId w:val="1001"/>
        </w:numPr>
        <w:pStyle w:val="Compact"/>
      </w:pPr>
      <w:r>
        <w:rPr>
          <w:bCs/>
          <w:b/>
        </w:rPr>
        <w:t xml:space="preserve">Intellectual Property Litigation:</w:t>
      </w:r>
      <w:r>
        <w:t xml:space="preserve"> </w:t>
      </w:r>
      <w:r>
        <w:t xml:space="preserve">32% increase in patent dispute cases handled for Israeli biotech firms. The firm’s</w:t>
      </w:r>
      <w:r>
        <w:t xml:space="preserve"> </w:t>
      </w:r>
      <w:r>
        <w:rPr>
          <w:iCs/>
          <w:i/>
        </w:rPr>
        <w:t xml:space="preserve">Lawyer</w:t>
      </w:r>
      <w:r>
        <w:t xml:space="preserve">, Dr. Eli Ben-Ari, leveraged his prior experience at the Tel Aviv District Court to win two high-stakes cases against U.S.-based competitors.</w:t>
      </w:r>
    </w:p>
    <w:p>
      <w:pPr>
        <w:numPr>
          <w:ilvl w:val="0"/>
          <w:numId w:val="1001"/>
        </w:numPr>
        <w:pStyle w:val="Compact"/>
      </w:pPr>
      <w:r>
        <w:rPr>
          <w:bCs/>
          <w:b/>
        </w:rPr>
        <w:t xml:space="preserve">International M&amp;A:</w:t>
      </w:r>
      <w:r>
        <w:t xml:space="preserve"> </w:t>
      </w:r>
      <w:r>
        <w:t xml:space="preserve">15 deals facilitated across Israel Tel Aviv and Silicon Valley. The sales team’s tailored pitch emphasizing our local Israeli Bar Association accreditation was pivotal in closing a $4.7M acquisition involving a Tel Aviv startup and German investor consortium.</w:t>
      </w:r>
    </w:p>
    <w:bookmarkEnd w:id="23"/>
    <w:bookmarkStart w:id="24" w:name="X1f74259fbb495cf4efaf50213f9c57f28d35824"/>
    <w:p>
      <w:pPr>
        <w:pStyle w:val="Heading2"/>
      </w:pPr>
      <w:r>
        <w:t xml:space="preserve">Competitive Differentiation in Israel Tel Aviv</w:t>
      </w:r>
    </w:p>
    <w:p>
      <w:pPr>
        <w:pStyle w:val="FirstParagraph"/>
      </w:pPr>
      <w:r>
        <w:t xml:space="preserve">What sets our firm apart as the optimal choice for businesses seeking legal counsel in Israel Tel Aviv is our hyper-localized approach. While competitors offer generic global services, we maintain dedicated practice groups focused exclusively on Israeli market nuances. For instance:</w:t>
      </w:r>
    </w:p>
    <w:p>
      <w:pPr>
        <w:numPr>
          <w:ilvl w:val="0"/>
          <w:numId w:val="1002"/>
        </w:numPr>
        <w:pStyle w:val="Compact"/>
      </w:pPr>
      <w:r>
        <w:t xml:space="preserve">Our Tel Aviv-based</w:t>
      </w:r>
      <w:r>
        <w:t xml:space="preserve"> </w:t>
      </w:r>
      <w:r>
        <w:rPr>
          <w:iCs/>
          <w:i/>
        </w:rPr>
        <w:t xml:space="preserve">Lawyer</w:t>
      </w:r>
      <w:r>
        <w:t xml:space="preserve"> </w:t>
      </w:r>
      <w:r>
        <w:t xml:space="preserve">team maintains direct relationships with the Israel Securities Authority (ISA) and Tel Aviv District Court judges—accelerating case resolution by 30% versus industry benchmarks.</w:t>
      </w:r>
    </w:p>
    <w:p>
      <w:pPr>
        <w:numPr>
          <w:ilvl w:val="0"/>
          <w:numId w:val="1002"/>
        </w:numPr>
        <w:pStyle w:val="Compact"/>
      </w:pPr>
      <w:r>
        <w:t xml:space="preserve">We developed a proprietary "Tel Aviv Regulatory Compass" tool tracking real-time changes in Israeli laws, providing clients with proactive compliance alerts unavailable through international firms.</w:t>
      </w:r>
    </w:p>
    <w:p>
      <w:pPr>
        <w:numPr>
          <w:ilvl w:val="0"/>
          <w:numId w:val="1002"/>
        </w:numPr>
        <w:pStyle w:val="Compact"/>
      </w:pPr>
      <w:r>
        <w:t xml:space="preserve">Unlike multinational legal giants, our sales process emphasizes cultural alignment: All client meetings begin with Hebrew coffee (a Tel Aviv business ritual), building trust before discussing complex contracts.</w:t>
      </w:r>
    </w:p>
    <w:bookmarkEnd w:id="24"/>
    <w:bookmarkStart w:id="25" w:name="strategic-initiatives-for-q4-2023"/>
    <w:p>
      <w:pPr>
        <w:pStyle w:val="Heading2"/>
      </w:pPr>
      <w:r>
        <w:t xml:space="preserve">Strategic Initiatives for Q4 2023</w:t>
      </w:r>
    </w:p>
    <w:p>
      <w:pPr>
        <w:pStyle w:val="FirstParagraph"/>
      </w:pPr>
      <w:r>
        <w:t xml:space="preserve">Building on this momentum, our Q4 strategy focuses on two pillars directly tied to sustaining growth in Israel Tel Aviv:</w:t>
      </w:r>
    </w:p>
    <w:p>
      <w:pPr>
        <w:numPr>
          <w:ilvl w:val="0"/>
          <w:numId w:val="1003"/>
        </w:numPr>
        <w:pStyle w:val="Compact"/>
      </w:pPr>
      <w:r>
        <w:rPr>
          <w:bCs/>
          <w:b/>
        </w:rPr>
        <w:t xml:space="preserve">Deepening Tel Aviv Market Penetration:</w:t>
      </w:r>
      <w:r>
        <w:t xml:space="preserve"> </w:t>
      </w:r>
      <w:r>
        <w:t xml:space="preserve">Launching a "Startup Legal Accelerator" program with 15 Tel Aviv incubators (including The Tower and HUJI Ventures), offering discounted onboarding for early-stage companies. This initiative targets the city’s 4,200 active startups where our</w:t>
      </w:r>
      <w:r>
        <w:t xml:space="preserve"> </w:t>
      </w:r>
      <w:r>
        <w:rPr>
          <w:iCs/>
          <w:i/>
        </w:rPr>
        <w:t xml:space="preserve">Lawyer</w:t>
      </w:r>
      <w:r>
        <w:t xml:space="preserve"> </w:t>
      </w:r>
      <w:r>
        <w:t xml:space="preserve">team will provide free quarterly compliance workshops.</w:t>
      </w:r>
    </w:p>
    <w:p>
      <w:pPr>
        <w:numPr>
          <w:ilvl w:val="0"/>
          <w:numId w:val="1003"/>
        </w:numPr>
        <w:pStyle w:val="Compact"/>
      </w:pPr>
      <w:r>
        <w:rPr>
          <w:bCs/>
          <w:b/>
        </w:rPr>
        <w:t xml:space="preserve">Expanding International Client Acquisition:</w:t>
      </w:r>
      <w:r>
        <w:t xml:space="preserve"> </w:t>
      </w:r>
      <w:r>
        <w:t xml:space="preserve">Partnering with Chambers of Commerce in Berlin and London to host joint "Israel Tel Aviv Investment Clusters" events. Our sales team will leverage Q3’s 41% international pipeline growth to secure 25+ new cross-border mandates by year-end.</w:t>
      </w:r>
    </w:p>
    <w:bookmarkEnd w:id="25"/>
    <w:bookmarkStart w:id="26" w:name="conclusion-the-israel-tel-aviv-advantage"/>
    <w:p>
      <w:pPr>
        <w:pStyle w:val="Heading2"/>
      </w:pPr>
      <w:r>
        <w:t xml:space="preserve">Conclusion: The Israel Tel Aviv Advantage</w:t>
      </w:r>
    </w:p>
    <w:p>
      <w:pPr>
        <w:pStyle w:val="FirstParagraph"/>
      </w:pPr>
      <w:r>
        <w:t xml:space="preserve">This</w:t>
      </w:r>
      <w:r>
        <w:t xml:space="preserve"> </w:t>
      </w:r>
      <w:r>
        <w:rPr>
          <w:iCs/>
          <w:i/>
        </w:rPr>
        <w:t xml:space="preserve">Sales Report</w:t>
      </w:r>
      <w:r>
        <w:t xml:space="preserve"> </w:t>
      </w:r>
      <w:r>
        <w:t xml:space="preserve">affirms that our firm’s success is intrinsically linked to the strategic advantages of operating from Israel Tel Aviv. The city’s convergence of innovation, regulatory complexity, and international business activity creates unparalleled demand for specialized legal expertise. Our</w:t>
      </w:r>
      <w:r>
        <w:t xml:space="preserve"> </w:t>
      </w:r>
      <w:r>
        <w:rPr>
          <w:iCs/>
          <w:i/>
        </w:rPr>
        <w:t xml:space="preserve">Lawyer</w:t>
      </w:r>
      <w:r>
        <w:t xml:space="preserve"> </w:t>
      </w:r>
      <w:r>
        <w:t xml:space="preserve">teams don’t just deliver services—they translate Tel Aviv’s unique legal ecosystem into commercial opportunities for clients. As evidenced by Q3’s results, businesses choosing our firm gain more than a</w:t>
      </w:r>
      <w:r>
        <w:t xml:space="preserve"> </w:t>
      </w:r>
      <w:r>
        <w:rPr>
          <w:iCs/>
          <w:i/>
        </w:rPr>
        <w:t xml:space="preserve">Lawyer</w:t>
      </w:r>
      <w:r>
        <w:t xml:space="preserve">; they secure a market-ready partner embedded within Israel Tel Aviv’s business fabric.</w:t>
      </w:r>
    </w:p>
    <w:p>
      <w:pPr>
        <w:pStyle w:val="BodyText"/>
      </w:pPr>
      <w:r>
        <w:t xml:space="preserve">With 87% of sales revenue derived from repeat clients and strategic partnerships—up from 79% in Q2—we project sustained growth through the remainder of 2023. The firm will continue to prioritize Israel Tel Aviv as its operational nucleus, ensuring that every legal solution delivered resonates with local context and global ambition. For businesses navigating Israel’s most dynamic commercial center, our</w:t>
      </w:r>
      <w:r>
        <w:t xml:space="preserve"> </w:t>
      </w:r>
      <w:r>
        <w:rPr>
          <w:iCs/>
          <w:i/>
        </w:rPr>
        <w:t xml:space="preserve">Lawyer</w:t>
      </w:r>
      <w:r>
        <w:t xml:space="preserve"> </w:t>
      </w:r>
      <w:r>
        <w:t xml:space="preserve">team remains the definitive partner for sustainable success.</w:t>
      </w:r>
    </w:p>
    <w:p>
      <w:pPr>
        <w:pStyle w:val="BodyText"/>
      </w:pPr>
      <w:r>
        <w:rPr>
          <w:bCs/>
          <w:b/>
        </w:rPr>
        <w:t xml:space="preserve">Prepared by:</w:t>
      </w:r>
      <w:r>
        <w:t xml:space="preserve"> </w:t>
      </w:r>
      <w:r>
        <w:t xml:space="preserve">Tel Aviv Legal Group Sales Strategy Team</w:t>
      </w:r>
      <w:r>
        <w:br/>
      </w:r>
      <w:r>
        <w:rPr>
          <w:bCs/>
          <w:b/>
        </w:rPr>
        <w:t xml:space="preserve">Contact:</w:t>
      </w:r>
      <w:r>
        <w:t xml:space="preserve"> </w:t>
      </w:r>
      <w:r>
        <w:t xml:space="preserve">sales@telavivlegal.co.il | +972-3-567-1234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Premier Legal Services in Israel Tel Aviv</dc:title>
  <dc:creator/>
  <dc:language>en</dc:language>
  <cp:keywords/>
  <dcterms:created xsi:type="dcterms:W3CDTF">2026-07-21T14:52:15Z</dcterms:created>
  <dcterms:modified xsi:type="dcterms:W3CDTF">2026-07-21T14:52:15Z</dcterms:modified>
</cp:coreProperties>
</file>

<file path=docProps/custom.xml><?xml version="1.0" encoding="utf-8"?>
<Properties xmlns="http://schemas.openxmlformats.org/officeDocument/2006/custom-properties" xmlns:vt="http://schemas.openxmlformats.org/officeDocument/2006/docPropsVTypes"/>
</file>