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Italy</w:t>
      </w:r>
      <w:r>
        <w:t xml:space="preserve"> </w:t>
      </w:r>
      <w:r>
        <w:t xml:space="preserve">Milan</w:t>
      </w:r>
    </w:p>
    <w:bookmarkStart w:id="30" w:name="X147f8e1f010e2951444eeac928ae1b4da0f4ed5"/>
    <w:p>
      <w:pPr>
        <w:pStyle w:val="Heading1"/>
      </w:pPr>
      <w:r>
        <w:t xml:space="preserve">Comprehensive Sales Performance Report: Legal Practice in Italy Milan</w:t>
      </w:r>
    </w:p>
    <w:bookmarkStart w:id="20" w:name="executive-summary"/>
    <w:p>
      <w:pPr>
        <w:pStyle w:val="Heading2"/>
      </w:pPr>
      <w:r>
        <w:t xml:space="preserve">Executive Summary</w:t>
      </w:r>
    </w:p>
    <w:p>
      <w:pPr>
        <w:pStyle w:val="FirstParagraph"/>
      </w:pPr>
      <w:r>
        <w:t xml:space="preserve">This official Sales Report details the performance metrics and strategic insights of our premier legal practice serving clients across Italy Milan. Covering Q3 2023, this document demonstrates a 17.5% year-over-year growth in billable hours and a 12% increase in high-value client acquisitions within Milan's competitive legal market. The sustained success reflects our specialized approach to delivering exceptional legal services that align with Italy Milan's evolving economic landscape and stringent regulatory environment. As we continue to establish ourselves as the premier</w:t>
      </w:r>
      <w:r>
        <w:t xml:space="preserve"> </w:t>
      </w:r>
      <w:r>
        <w:rPr>
          <w:iCs/>
          <w:i/>
        </w:rPr>
        <w:t xml:space="preserve">Lawyer</w:t>
      </w:r>
      <w:r>
        <w:t xml:space="preserve"> </w:t>
      </w:r>
      <w:r>
        <w:t xml:space="preserve">partner for multinational corporations and local enterprises alike, this Sales Report underscores our commitment to excellence in the Italian legal sector.</w:t>
      </w:r>
    </w:p>
    <w:bookmarkEnd w:id="20"/>
    <w:bookmarkStart w:id="21" w:name="X217fb594b7a58014d46bba671c13ab45a20a9a5"/>
    <w:p>
      <w:pPr>
        <w:pStyle w:val="Heading2"/>
      </w:pPr>
      <w:r>
        <w:t xml:space="preserve">Market Context: Legal Services in Italy Milan</w:t>
      </w:r>
    </w:p>
    <w:p>
      <w:pPr>
        <w:pStyle w:val="FirstParagraph"/>
      </w:pPr>
      <w:r>
        <w:t xml:space="preserve">Milan remains Italy's undisputed economic engine, contributing 10.3% to national GDP and housing 87% of Fortune 500 companies' Italian headquarters. This dynamic environment creates intense demand for sophisticated legal services, particularly in corporate restructuring, intellectual property protection, and cross-border compliance. Our Sales Report reveals that Milan-based businesses now allocate 23% more budget toward specialized legal counsel compared to national averages, driven by Italy's recent regulatory reforms and the EU's Digital Services Act implementation. This market evolution directly positions our firm as the strategic</w:t>
      </w:r>
      <w:r>
        <w:t xml:space="preserve"> </w:t>
      </w:r>
      <w:r>
        <w:rPr>
          <w:iCs/>
          <w:i/>
        </w:rPr>
        <w:t xml:space="preserve">Lawyer</w:t>
      </w:r>
      <w:r>
        <w:t xml:space="preserve"> </w:t>
      </w:r>
      <w:r>
        <w:t xml:space="preserve">of choice for clients navigating Milan's complex commercial ecosystem.</w:t>
      </w:r>
    </w:p>
    <w:bookmarkEnd w:id="21"/>
    <w:bookmarkStart w:id="25" w:name="detailed-sales-performance-analysis"/>
    <w:p>
      <w:pPr>
        <w:pStyle w:val="Heading2"/>
      </w:pPr>
      <w:r>
        <w:t xml:space="preserve">Detailed Sales Performance Analysis</w:t>
      </w:r>
    </w:p>
    <w:p>
      <w:pPr>
        <w:pStyle w:val="FirstParagraph"/>
      </w:pPr>
      <w:r>
        <w:t xml:space="preserve">The current Sales Report highlights three key growth vectors:</w:t>
      </w:r>
    </w:p>
    <w:bookmarkStart w:id="22" w:name="Xc4c9c06aa96367c49dd73ad70a2eba01a87763b"/>
    <w:p>
      <w:pPr>
        <w:pStyle w:val="Heading3"/>
      </w:pPr>
      <w:r>
        <w:t xml:space="preserve">1. Corporate Advisory Services (48% of Revenue)</w:t>
      </w:r>
    </w:p>
    <w:p>
      <w:pPr>
        <w:pStyle w:val="FirstParagraph"/>
      </w:pPr>
      <w:r>
        <w:t xml:space="preserve">Our corporate practice generated €5.2M in Q3, fueled by 19 new multinational engagements from Milan-based tech firms seeking GDPR compliance solutions. Notable wins include a €1.7M mandate from an Italian pharmaceutical leader requiring EU-wide patent portfolio restructuring—a transaction directly attributable to our Milan office's deep understanding of local court procedures and regulatory nuances.</w:t>
      </w:r>
    </w:p>
    <w:bookmarkEnd w:id="22"/>
    <w:bookmarkStart w:id="23" w:name="commercial-litigation-32-of-revenue"/>
    <w:p>
      <w:pPr>
        <w:pStyle w:val="Heading3"/>
      </w:pPr>
      <w:r>
        <w:t xml:space="preserve">2. Commercial Litigation (32% of Revenue)</w:t>
      </w:r>
    </w:p>
    <w:p>
      <w:pPr>
        <w:pStyle w:val="FirstParagraph"/>
      </w:pPr>
      <w:r>
        <w:t xml:space="preserve">Milan's Court of Appeal saw a 28% increase in complex commercial disputes, driving a 24% surge in litigation revenue. Our Sales Report notes that 76% of these cases originated from clients referred through our Milan network of financial institutions and business associations. A landmark €3.4M settlement for an Italian fashion conglomerate against a European competitor exemplifies how our localized legal strategy—combining Milanese procedural expertise with international arbitration knowledge—directly translates to client success.</w:t>
      </w:r>
    </w:p>
    <w:bookmarkEnd w:id="23"/>
    <w:bookmarkStart w:id="24" w:name="ma-transaction-support-20-of-revenue"/>
    <w:p>
      <w:pPr>
        <w:pStyle w:val="Heading3"/>
      </w:pPr>
      <w:r>
        <w:t xml:space="preserve">3. M&amp;A Transaction Support (20% of Revenue)</w:t>
      </w:r>
    </w:p>
    <w:p>
      <w:pPr>
        <w:pStyle w:val="FirstParagraph"/>
      </w:pPr>
      <w:r>
        <w:t xml:space="preserve">With Milan hosting 62% of Italy's largest M&amp;A deals, our firm closed 14 high-value transactions in Q3, including the €85M acquisition of a Milan-based fintech startup by a Swiss holding company. The Sales Report attributes this to our targeted sales outreach through Milan's Chamber of Commerce events and specialized digital campaigns highlighting our</w:t>
      </w:r>
      <w:r>
        <w:t xml:space="preserve"> </w:t>
      </w:r>
      <w:r>
        <w:rPr>
          <w:iCs/>
          <w:i/>
        </w:rPr>
        <w:t xml:space="preserve">Lawyer</w:t>
      </w:r>
      <w:r>
        <w:t xml:space="preserve">'s unique ability to navigate Italy's 2023 Foreign Direct Investment screening regulations.</w:t>
      </w:r>
    </w:p>
    <w:bookmarkEnd w:id="24"/>
    <w:bookmarkEnd w:id="25"/>
    <w:bookmarkStart w:id="26" w:name="Xfee563eef291b15c4e5be3523dbbd49772f09dc"/>
    <w:p>
      <w:pPr>
        <w:pStyle w:val="Heading2"/>
      </w:pPr>
      <w:r>
        <w:t xml:space="preserve">Geographic Sales Distribution: Milan-Centric Strategy</w:t>
      </w:r>
    </w:p>
    <w:p>
      <w:pPr>
        <w:pStyle w:val="FirstParagraph"/>
      </w:pPr>
      <w:r>
        <w:t xml:space="preserve">Our Sales Report confirms that 84% of new client acquisitions originate within Milan city limits, with the remaining 16% from Lombardy's industrial corridors (Monza, Busto Arsizio). This concentration reflects our hyper-localized sales approach: The Milan office maintains dedicated client relationship managers for each district (e.g., Porta Nuova for tech firms, Via Montenapoleone for luxury brands), ensuring personalized service delivery that resonates with Italy Milan's fragmented business community. Crucially, 73% of these clients renewed contracts after experiencing our integrated digital case management platform—directly linked to our sales team's training in Milan-specific client communication protocols.</w:t>
      </w:r>
    </w:p>
    <w:bookmarkEnd w:id="26"/>
    <w:bookmarkStart w:id="27" w:name="X1b0b1e5fdce40a64dfd27c3384e2abd5963c161"/>
    <w:p>
      <w:pPr>
        <w:pStyle w:val="Heading2"/>
      </w:pPr>
      <w:r>
        <w:t xml:space="preserve">Market Trends Analysis: Italy Milan Legal Landscape</w:t>
      </w:r>
    </w:p>
    <w:p>
      <w:pPr>
        <w:pStyle w:val="FirstParagraph"/>
      </w:pPr>
      <w:r>
        <w:t xml:space="preserve">Per the Sales Report, four pivotal trends are reshaping legal service consumption in Italy Milan:</w:t>
      </w:r>
    </w:p>
    <w:p>
      <w:pPr>
        <w:numPr>
          <w:ilvl w:val="0"/>
          <w:numId w:val="1001"/>
        </w:numPr>
        <w:pStyle w:val="Compact"/>
      </w:pPr>
      <w:r>
        <w:rPr>
          <w:bCs/>
          <w:b/>
        </w:rPr>
        <w:t xml:space="preserve">Regulatory Acceleration:</w:t>
      </w:r>
      <w:r>
        <w:t xml:space="preserve"> </w:t>
      </w:r>
      <w:r>
        <w:t xml:space="preserve">Italy's 2023 Digital Transition Decree increased demand for tech-focused legal counsel by 41% in Milan.</w:t>
      </w:r>
    </w:p>
    <w:p>
      <w:pPr>
        <w:numPr>
          <w:ilvl w:val="0"/>
          <w:numId w:val="1001"/>
        </w:numPr>
        <w:pStyle w:val="Compact"/>
      </w:pPr>
      <w:r>
        <w:rPr>
          <w:bCs/>
          <w:b/>
        </w:rPr>
        <w:t xml:space="preserve">Economic Volatility:</w:t>
      </w:r>
      <w:r>
        <w:t xml:space="preserve"> </w:t>
      </w:r>
      <w:r>
        <w:t xml:space="preserve">The 8.7% inflation rate prompted SMEs to seek preemptive contract review services—generating €950K in new business.</w:t>
      </w:r>
    </w:p>
    <w:p>
      <w:pPr>
        <w:numPr>
          <w:ilvl w:val="0"/>
          <w:numId w:val="1001"/>
        </w:numPr>
        <w:pStyle w:val="Compact"/>
      </w:pPr>
      <w:r>
        <w:rPr>
          <w:bCs/>
          <w:b/>
        </w:rPr>
        <w:t xml:space="preserve">Client Expectations:</w:t>
      </w:r>
      <w:r>
        <w:t xml:space="preserve"> </w:t>
      </w:r>
      <w:r>
        <w:t xml:space="preserve">68% of Milan clients now require real-time case updates via mobile apps (a feature our sales team aggressively markets).</w:t>
      </w:r>
    </w:p>
    <w:p>
      <w:pPr>
        <w:numPr>
          <w:ilvl w:val="0"/>
          <w:numId w:val="1001"/>
        </w:numPr>
        <w:pStyle w:val="Compact"/>
      </w:pPr>
      <w:r>
        <w:rPr>
          <w:bCs/>
          <w:b/>
        </w:rPr>
        <w:t xml:space="preserve">Talent Competition:</w:t>
      </w:r>
      <w:r>
        <w:t xml:space="preserve"> </w:t>
      </w:r>
      <w:r>
        <w:t xml:space="preserve">Milan's legal market saw a 22% rise in associate recruitment, making our firm's retention rate (94%) a key competitive differentiator.</w:t>
      </w:r>
    </w:p>
    <w:bookmarkEnd w:id="27"/>
    <w:bookmarkStart w:id="28" w:name="X3b83549f27a4831a6a47b22da7796816befe257"/>
    <w:p>
      <w:pPr>
        <w:pStyle w:val="Heading2"/>
      </w:pPr>
      <w:r>
        <w:t xml:space="preserve">Strategic Recommendations for Sales Growth</w:t>
      </w:r>
    </w:p>
    <w:p>
      <w:pPr>
        <w:pStyle w:val="FirstParagraph"/>
      </w:pPr>
      <w:r>
        <w:t xml:space="preserve">The Sales Report identifies three urgent priorities to capitalize on Milan's legal market potential:</w:t>
      </w:r>
    </w:p>
    <w:p>
      <w:pPr>
        <w:numPr>
          <w:ilvl w:val="0"/>
          <w:numId w:val="1002"/>
        </w:numPr>
        <w:pStyle w:val="Compact"/>
      </w:pPr>
      <w:r>
        <w:rPr>
          <w:bCs/>
          <w:b/>
        </w:rPr>
        <w:t xml:space="preserve">Expand Milan-Exclusive Digital Services:</w:t>
      </w:r>
      <w:r>
        <w:t xml:space="preserve"> </w:t>
      </w:r>
      <w:r>
        <w:t xml:space="preserve">Develop a specialized AI tool for Italian commercial lease agreements—addressing a €320M annual market gap identified through our sales analytics.</w:t>
      </w:r>
    </w:p>
    <w:p>
      <w:pPr>
        <w:numPr>
          <w:ilvl w:val="0"/>
          <w:numId w:val="1002"/>
        </w:numPr>
        <w:pStyle w:val="Compact"/>
      </w:pPr>
      <w:r>
        <w:rPr>
          <w:bCs/>
          <w:b/>
        </w:rPr>
        <w:t xml:space="preserve">Cultivate Strategic Partnerships:</w:t>
      </w:r>
      <w:r>
        <w:t xml:space="preserve"> </w:t>
      </w:r>
      <w:r>
        <w:t xml:space="preserve">Forge alliances with Milan-based tax consultancies (e.g., Deloitte Milano) to bundle services, projected to increase cross-selling by 35%.</w:t>
      </w:r>
    </w:p>
    <w:p>
      <w:pPr>
        <w:numPr>
          <w:ilvl w:val="0"/>
          <w:numId w:val="1002"/>
        </w:numPr>
        <w:pStyle w:val="Compact"/>
      </w:pPr>
      <w:r>
        <w:rPr>
          <w:bCs/>
          <w:b/>
        </w:rPr>
        <w:t xml:space="preserve">Launch "Milan Legal Insights" Series:</w:t>
      </w:r>
      <w:r>
        <w:t xml:space="preserve"> </w:t>
      </w:r>
      <w:r>
        <w:t xml:space="preserve">Monthly webinars featuring our</w:t>
      </w:r>
      <w:r>
        <w:t xml:space="preserve"> </w:t>
      </w:r>
      <w:r>
        <w:rPr>
          <w:iCs/>
          <w:i/>
        </w:rPr>
        <w:t xml:space="preserve">Lawyer</w:t>
      </w:r>
      <w:r>
        <w:t xml:space="preserve">s discussing local court decisions—targeted at Milan business councils to generate qualified leads.</w:t>
      </w:r>
    </w:p>
    <w:bookmarkEnd w:id="28"/>
    <w:bookmarkStart w:id="29" w:name="Xa4242137e83c7ceb5327aab8c51145a877644bf"/>
    <w:p>
      <w:pPr>
        <w:pStyle w:val="Heading2"/>
      </w:pPr>
      <w:r>
        <w:t xml:space="preserve">Conclusion: The Path Forward in Italy Milan</w:t>
      </w:r>
    </w:p>
    <w:p>
      <w:pPr>
        <w:pStyle w:val="FirstParagraph"/>
      </w:pPr>
      <w:r>
        <w:t xml:space="preserve">This Sales Report unequivocally demonstrates that our strategic focus on Italy Milan's unique legal market has yielded exceptional results. By embedding ourselves within the city's commercial fabric—through district-specific sales engagement, regulatory foresight, and client-centric technology—we've established a sustainable growth model. The data confirms that clients in Milan prioritize local expertise above all; 89% of new contracts explicitly cite our Milan-based team as the decisive factor versus national firms.</w:t>
      </w:r>
    </w:p>
    <w:p>
      <w:pPr>
        <w:pStyle w:val="BodyText"/>
      </w:pPr>
      <w:r>
        <w:t xml:space="preserve">Looking ahead, we will intensify our sales initiatives in three priority corridors: Porta Nuova (tech), Città Studi (university-driven innovation), and Corso Como (luxury retail). Our Sales Report concludes with a clear directive: To maintain our leadership position as Milan's most trusted</w:t>
      </w:r>
      <w:r>
        <w:t xml:space="preserve"> </w:t>
      </w:r>
      <w:r>
        <w:rPr>
          <w:iCs/>
          <w:i/>
        </w:rPr>
        <w:t xml:space="preserve">Lawyer</w:t>
      </w:r>
      <w:r>
        <w:t xml:space="preserve">, we must deepen our hyper-local market intelligence while scaling the proven sales framework documented herein. The future of legal practice in Italy Milan isn't just about expertise—it's about being present where business happens, and this Sales Report proves we are leading that transformation.</w:t>
      </w:r>
    </w:p>
    <w:p>
      <w:pPr>
        <w:pStyle w:val="BodyText"/>
      </w:pPr>
      <w:r>
        <w:rPr>
          <w:bCs/>
          <w:b/>
        </w:rPr>
        <w:t xml:space="preserve">Prepared For:</w:t>
      </w:r>
      <w:r>
        <w:t xml:space="preserve"> </w:t>
      </w:r>
      <w:r>
        <w:t xml:space="preserve">Executive Board, Italy Milan Legal Practice</w:t>
      </w:r>
      <w:r>
        <w:br/>
      </w:r>
      <w:r>
        <w:rPr>
          <w:bCs/>
          <w:b/>
        </w:rPr>
        <w:t xml:space="preserve">Date:</w:t>
      </w:r>
      <w:r>
        <w:t xml:space="preserve"> </w:t>
      </w:r>
      <w:r>
        <w:t xml:space="preserve">October 26, 2023</w:t>
      </w:r>
      <w:r>
        <w:br/>
      </w:r>
      <w:r>
        <w:rPr>
          <w:bCs/>
          <w:b/>
        </w:rPr>
        <w:t xml:space="preserve">Confidentiality Level:</w:t>
      </w:r>
      <w:r>
        <w:t xml:space="preserve"> </w:t>
      </w:r>
      <w:r>
        <w:t xml:space="preserve">Strictly Internal Use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Italy Milan</dc:title>
  <dc:creator/>
  <dc:language>en</dc:language>
  <cp:keywords/>
  <dcterms:created xsi:type="dcterms:W3CDTF">2026-07-21T06:06:32Z</dcterms:created>
  <dcterms:modified xsi:type="dcterms:W3CDTF">2026-07-21T06:06:32Z</dcterms:modified>
</cp:coreProperties>
</file>

<file path=docProps/custom.xml><?xml version="1.0" encoding="utf-8"?>
<Properties xmlns="http://schemas.openxmlformats.org/officeDocument/2006/custom-properties" xmlns:vt="http://schemas.openxmlformats.org/officeDocument/2006/docPropsVTypes"/>
</file>