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Rome</w:t>
      </w:r>
      <w:r>
        <w:t xml:space="preserve"> </w:t>
      </w:r>
      <w:r>
        <w:t xml:space="preserve">Legal</w:t>
      </w:r>
      <w:r>
        <w:t xml:space="preserve"> </w:t>
      </w:r>
      <w:r>
        <w:t xml:space="preserve">Services</w:t>
      </w:r>
    </w:p>
    <w:bookmarkStart w:id="28" w:name="Xc8d8002fb8b5ffc02dc6e649b5a35fbb7e4ae05"/>
    <w:p>
      <w:pPr>
        <w:pStyle w:val="Heading1"/>
      </w:pPr>
      <w:r>
        <w:t xml:space="preserve">Comprehensive Sales Report for Legal Services in Italy Rome</w:t>
      </w:r>
    </w:p>
    <w:bookmarkStart w:id="20" w:name="executive-summary"/>
    <w:p>
      <w:pPr>
        <w:pStyle w:val="Heading2"/>
      </w:pPr>
      <w:r>
        <w:t xml:space="preserve">Executive Summary</w:t>
      </w:r>
    </w:p>
    <w:p>
      <w:pPr>
        <w:pStyle w:val="FirstParagraph"/>
      </w:pPr>
      <w:r>
        <w:t xml:space="preserve">This official Sales Report details the performance of legal services provided by [Law Firm Name], a premier law practice operating exclusively in Italy Rome. Covering Q3 2023, this document demonstrates exceptional growth in client acquisition, case resolution rates, and market positioning within Rome's competitive legal landscape. As the leading</w:t>
      </w:r>
      <w:r>
        <w:t xml:space="preserve"> </w:t>
      </w:r>
      <w:r>
        <w:rPr>
          <w:bCs/>
          <w:b/>
        </w:rPr>
        <w:t xml:space="preserve">Lawyer</w:t>
      </w:r>
      <w:r>
        <w:t xml:space="preserve"> </w:t>
      </w:r>
      <w:r>
        <w:t xml:space="preserve">consultancy in Central Italy, our firm has achieved a 24% year-over-year increase in revenue through strategic service expansion tailored to Rome's unique jurisdictional demands. This report substantiates our commitment to delivering superior legal solutions for clients navigating complex regulations across Italy Rome.</w:t>
      </w:r>
    </w:p>
    <w:bookmarkEnd w:id="20"/>
    <w:bookmarkStart w:id="21" w:name="market-context-the-rome-legal-landscape"/>
    <w:p>
      <w:pPr>
        <w:pStyle w:val="Heading2"/>
      </w:pPr>
      <w:r>
        <w:t xml:space="preserve">Market Context: The Rome Legal Landscape</w:t>
      </w:r>
    </w:p>
    <w:p>
      <w:pPr>
        <w:pStyle w:val="FirstParagraph"/>
      </w:pPr>
      <w:r>
        <w:t xml:space="preserve">Italy Rome represents one of Europe's most dynamic legal markets, characterized by intricate civil code applications, evolving EU regulatory frameworks, and high-stakes commercial litigation. With over 150 law firms competing for market share in the capital city, our position as a specialized</w:t>
      </w:r>
      <w:r>
        <w:t xml:space="preserve"> </w:t>
      </w:r>
      <w:r>
        <w:rPr>
          <w:bCs/>
          <w:b/>
        </w:rPr>
        <w:t xml:space="preserve">Lawyer</w:t>
      </w:r>
      <w:r>
        <w:t xml:space="preserve"> </w:t>
      </w:r>
      <w:r>
        <w:t xml:space="preserve">practice requires constant adaptation to Rome-specific challenges. The Italian Supreme Court's recent rulings on property law (Cassazione Sentenza n. 24678/2023) and Rome's strict urban development ordinances have created unprecedented demand for localized legal expertise. This Sales Report confirms that our firm has captured 37% of new commercial litigation mandates in Rome during Q3, outperforming regional competitors by 19 percentage points.</w:t>
      </w:r>
    </w:p>
    <w:bookmarkEnd w:id="21"/>
    <w:bookmarkStart w:id="22" w:name="X4f1d872cdf9ccfd52941b18da361e112b243179"/>
    <w:p>
      <w:pPr>
        <w:pStyle w:val="Heading2"/>
      </w:pPr>
      <w:r>
        <w:t xml:space="preserve">Performance Metrics: Quantitative Excellence</w:t>
      </w:r>
    </w:p>
    <w:p>
      <w:pPr>
        <w:pStyle w:val="FirstParagraph"/>
      </w:pPr>
      <w:r>
        <w:t xml:space="preserve">Our sales funnel reveals remarkable efficiency across key metrics:</w:t>
      </w:r>
    </w:p>
    <w:p>
      <w:pPr>
        <w:numPr>
          <w:ilvl w:val="0"/>
          <w:numId w:val="1001"/>
        </w:numPr>
        <w:pStyle w:val="Compact"/>
      </w:pPr>
      <w:r>
        <w:rPr>
          <w:bCs/>
          <w:b/>
        </w:rPr>
        <w:t xml:space="preserve">Case Volume Growth:</w:t>
      </w:r>
      <w:r>
        <w:t xml:space="preserve"> </w:t>
      </w:r>
      <w:r>
        <w:t xml:space="preserve">47 new client engagements (+31% YoY), including 18 high-value commercial cases (€2.8M+ in combined value)</w:t>
      </w:r>
    </w:p>
    <w:p>
      <w:pPr>
        <w:numPr>
          <w:ilvl w:val="0"/>
          <w:numId w:val="1001"/>
        </w:numPr>
        <w:pStyle w:val="Compact"/>
      </w:pPr>
      <w:r>
        <w:rPr>
          <w:bCs/>
          <w:b/>
        </w:rPr>
        <w:t xml:space="preserve">Client Retention Rate:</w:t>
      </w:r>
      <w:r>
        <w:t xml:space="preserve"> </w:t>
      </w:r>
      <w:r>
        <w:t xml:space="preserve">92% (surpassing Rome industry benchmark of 78%)</w:t>
      </w:r>
    </w:p>
    <w:p>
      <w:pPr>
        <w:numPr>
          <w:ilvl w:val="0"/>
          <w:numId w:val="1001"/>
        </w:numPr>
        <w:pStyle w:val="Compact"/>
      </w:pPr>
      <w:r>
        <w:rPr>
          <w:bCs/>
          <w:b/>
        </w:rPr>
        <w:t xml:space="preserve">Revenue per Case:</w:t>
      </w:r>
      <w:r>
        <w:t xml:space="preserve"> </w:t>
      </w:r>
      <w:r>
        <w:t xml:space="preserve">€145,000 (vs. Rome average €98,500)</w:t>
      </w:r>
    </w:p>
    <w:p>
      <w:pPr>
        <w:numPr>
          <w:ilvl w:val="0"/>
          <w:numId w:val="1001"/>
        </w:numPr>
        <w:pStyle w:val="Compact"/>
      </w:pPr>
      <w:r>
        <w:rPr>
          <w:bCs/>
          <w:b/>
        </w:rPr>
        <w:t xml:space="preserve">New Client Acquisition Cost:</w:t>
      </w:r>
      <w:r>
        <w:t xml:space="preserve"> </w:t>
      </w:r>
      <w:r>
        <w:t xml:space="preserve">€3,245 (27% below Italy Rome market average)</w:t>
      </w:r>
    </w:p>
    <w:p>
      <w:pPr>
        <w:pStyle w:val="FirstParagraph"/>
      </w:pPr>
      <w:r>
        <w:t xml:space="preserve">These figures demonstrate how our specialized approach to</w:t>
      </w:r>
      <w:r>
        <w:t xml:space="preserve"> </w:t>
      </w:r>
      <w:r>
        <w:rPr>
          <w:bCs/>
          <w:b/>
        </w:rPr>
        <w:t xml:space="preserve">Italy Rome</w:t>
      </w:r>
      <w:r>
        <w:t xml:space="preserve"> </w:t>
      </w:r>
      <w:r>
        <w:t xml:space="preserve">jurisprudence directly translates to sales success. Notably, 68% of new clients were referred through existing Rome-based corporate partners – a testament to our reputation as the trusted</w:t>
      </w:r>
      <w:r>
        <w:t xml:space="preserve"> </w:t>
      </w:r>
      <w:r>
        <w:rPr>
          <w:bCs/>
          <w:b/>
        </w:rPr>
        <w:t xml:space="preserve">Lawyer</w:t>
      </w:r>
      <w:r>
        <w:t xml:space="preserve"> </w:t>
      </w:r>
      <w:r>
        <w:t xml:space="preserve">for international businesses operating in the capital.</w:t>
      </w:r>
    </w:p>
    <w:bookmarkEnd w:id="22"/>
    <w:bookmarkStart w:id="23" w:name="X74b493edda63695cb23ea28f5341a4faa2672e6"/>
    <w:p>
      <w:pPr>
        <w:pStyle w:val="Heading2"/>
      </w:pPr>
      <w:r>
        <w:t xml:space="preserve">Demand Analysis: Rome-Specific Service Trends</w:t>
      </w:r>
    </w:p>
    <w:p>
      <w:pPr>
        <w:pStyle w:val="FirstParagraph"/>
      </w:pPr>
      <w:r>
        <w:t xml:space="preserve">This Sales Report identifies three dominant demand patterns emerging from Italy Rome:</w:t>
      </w:r>
    </w:p>
    <w:p>
      <w:pPr>
        <w:numPr>
          <w:ilvl w:val="0"/>
          <w:numId w:val="1002"/>
        </w:numPr>
        <w:pStyle w:val="Compact"/>
      </w:pPr>
      <w:r>
        <w:rPr>
          <w:bCs/>
          <w:b/>
        </w:rPr>
        <w:t xml:space="preserve">Urban Real Estate Compliance:</w:t>
      </w:r>
      <w:r>
        <w:t xml:space="preserve"> </w:t>
      </w:r>
      <w:r>
        <w:t xml:space="preserve">41% of new cases related to property development conflicts with Rome's strict LUISS (Local Urban Investment Support System) regulations. Our firm secured a landmark victory for an Italian construction firm against city planning authorities in the EUR district, directly influencing 12 subsequent referrals.</w:t>
      </w:r>
    </w:p>
    <w:p>
      <w:pPr>
        <w:numPr>
          <w:ilvl w:val="0"/>
          <w:numId w:val="1002"/>
        </w:numPr>
        <w:pStyle w:val="Compact"/>
      </w:pPr>
      <w:r>
        <w:rPr>
          <w:bCs/>
          <w:b/>
        </w:rPr>
        <w:t xml:space="preserve">EU Regulation Adaptation:</w:t>
      </w:r>
      <w:r>
        <w:t xml:space="preserve"> </w:t>
      </w:r>
      <w:r>
        <w:t xml:space="preserve">33% of mandates involved GDPR/anti-fraud compliance for Rome-based multinational corporations post-2023 Digital Markets Act. We've developed a specialized "Rome EU Compliance Package" generating €1.7M in Q3 revenue alone.</w:t>
      </w:r>
    </w:p>
    <w:p>
      <w:pPr>
        <w:numPr>
          <w:ilvl w:val="0"/>
          <w:numId w:val="1002"/>
        </w:numPr>
        <w:pStyle w:val="Compact"/>
      </w:pPr>
      <w:r>
        <w:rPr>
          <w:bCs/>
          <w:b/>
        </w:rPr>
        <w:t xml:space="preserve">Cross-Border Family Law:</w:t>
      </w:r>
      <w:r>
        <w:t xml:space="preserve"> </w:t>
      </w:r>
      <w:r>
        <w:t xml:space="preserve">A 56% surge in cases involving international divorces with Rome residency requirements, driven by the 2022 Hague Convention updates. Our bilingual (Italian/English) team handled 47 such cases successfully.</w:t>
      </w:r>
    </w:p>
    <w:bookmarkEnd w:id="23"/>
    <w:bookmarkStart w:id="24" w:name="client-satisfaction-strategic-value"/>
    <w:p>
      <w:pPr>
        <w:pStyle w:val="Heading2"/>
      </w:pPr>
      <w:r>
        <w:t xml:space="preserve">Client Satisfaction &amp; Strategic Value</w:t>
      </w:r>
    </w:p>
    <w:p>
      <w:pPr>
        <w:pStyle w:val="FirstParagraph"/>
      </w:pPr>
      <w:r>
        <w:t xml:space="preserve">Client feedback underscores our competitive advantage in Italy Rome:</w:t>
      </w:r>
    </w:p>
    <w:p>
      <w:pPr>
        <w:pStyle w:val="BlockText"/>
      </w:pPr>
      <w:r>
        <w:t xml:space="preserve">"As a German pharmaceutical firm establishing Rome headquarters, [Law Firm Name] navigated our complex tax and zoning challenges within 18 days – a feat no other local</w:t>
      </w:r>
      <w:r>
        <w:t xml:space="preserve"> </w:t>
      </w:r>
      <w:r>
        <w:rPr>
          <w:bCs/>
          <w:b/>
        </w:rPr>
        <w:t xml:space="preserve">Lawyer</w:t>
      </w:r>
      <w:r>
        <w:t xml:space="preserve"> </w:t>
      </w:r>
      <w:r>
        <w:t xml:space="preserve">achieved. Their deep understanding of Rome's municipal bureaucracy was indispensable." – CEO, PharmaEurope Italia</w:t>
      </w:r>
    </w:p>
    <w:p>
      <w:pPr>
        <w:pStyle w:val="FirstParagraph"/>
      </w:pPr>
      <w:r>
        <w:t xml:space="preserve">The NPS (Net Promoter Score) for our Rome practice reached 79 in Q3 (industry average: 52). This is directly linked to our proprietary "Rome Compliance Navigator" tool, which provides real-time updates on municipal codes across Rome's 15 districts – a solution exclusively developed for the Italy Rome market. Such innovations have positioned us as the preferred</w:t>
      </w:r>
      <w:r>
        <w:t xml:space="preserve"> </w:t>
      </w:r>
      <w:r>
        <w:rPr>
          <w:bCs/>
          <w:b/>
        </w:rPr>
        <w:t xml:space="preserve">Lawyer</w:t>
      </w:r>
      <w:r>
        <w:t xml:space="preserve"> </w:t>
      </w:r>
      <w:r>
        <w:t xml:space="preserve">for Fortune 500 companies expanding into central Italy.</w:t>
      </w:r>
    </w:p>
    <w:bookmarkEnd w:id="24"/>
    <w:bookmarkStart w:id="25" w:name="Xce08ebb4f34ac4720843d7d771c7cc3b6ec8039"/>
    <w:p>
      <w:pPr>
        <w:pStyle w:val="Heading2"/>
      </w:pPr>
      <w:r>
        <w:t xml:space="preserve">Strategic Challenges in Italy Rome Market</w:t>
      </w:r>
    </w:p>
    <w:p>
      <w:pPr>
        <w:pStyle w:val="FirstParagraph"/>
      </w:pPr>
      <w:r>
        <w:t xml:space="preserve">This Sales Report identifies three critical challenges requiring immediate attention:</w:t>
      </w:r>
    </w:p>
    <w:p>
      <w:pPr>
        <w:numPr>
          <w:ilvl w:val="0"/>
          <w:numId w:val="1003"/>
        </w:numPr>
        <w:pStyle w:val="Compact"/>
      </w:pPr>
      <w:r>
        <w:rPr>
          <w:bCs/>
          <w:b/>
        </w:rPr>
        <w:t xml:space="preserve">Jurisdictional Complexity:</w:t>
      </w:r>
      <w:r>
        <w:t xml:space="preserve"> </w:t>
      </w:r>
      <w:r>
        <w:t xml:space="preserve">Rome's dual court system (state vs. municipal) creates 30% longer case timelines than other Italian cities. We're developing an AI-powered case-tracking platform to reduce this by 22%.</w:t>
      </w:r>
    </w:p>
    <w:p>
      <w:pPr>
        <w:numPr>
          <w:ilvl w:val="0"/>
          <w:numId w:val="1003"/>
        </w:numPr>
        <w:pStyle w:val="Compact"/>
      </w:pPr>
      <w:r>
        <w:rPr>
          <w:bCs/>
          <w:b/>
        </w:rPr>
        <w:t xml:space="preserve">Competitive Pressure:</w:t>
      </w:r>
      <w:r>
        <w:t xml:space="preserve"> </w:t>
      </w:r>
      <w:r>
        <w:t xml:space="preserve">Entry of two international firms into Rome has intensified price competition in commercial law (average rates down 8% YoY). Our response involves value-based pricing models rather than discounting.</w:t>
      </w:r>
    </w:p>
    <w:p>
      <w:pPr>
        <w:numPr>
          <w:ilvl w:val="0"/>
          <w:numId w:val="1003"/>
        </w:numPr>
        <w:pStyle w:val="Compact"/>
      </w:pPr>
      <w:r>
        <w:rPr>
          <w:bCs/>
          <w:b/>
        </w:rPr>
        <w:t xml:space="preserve">Talent Retention:</w:t>
      </w:r>
      <w:r>
        <w:t xml:space="preserve"> </w:t>
      </w:r>
      <w:r>
        <w:t xml:space="preserve">Only 42% of junior associates remain beyond two years due to work-life balance pressures. We've launched Rome-specific "Legal Wellness Programs" with city-approved flexible hours.</w:t>
      </w:r>
    </w:p>
    <w:bookmarkEnd w:id="25"/>
    <w:bookmarkStart w:id="26" w:name="X9ac6438e0f3ef415543d9db965072169ca09622"/>
    <w:p>
      <w:pPr>
        <w:pStyle w:val="Heading2"/>
      </w:pPr>
      <w:r>
        <w:t xml:space="preserve">Future Strategy: Scaling Success in Italy Rome</w:t>
      </w:r>
    </w:p>
    <w:p>
      <w:pPr>
        <w:pStyle w:val="FirstParagraph"/>
      </w:pPr>
      <w:r>
        <w:t xml:space="preserve">Based on this Sales Report, our Q4 strategy focuses on three pillars for sustained growth:</w:t>
      </w:r>
    </w:p>
    <w:p>
      <w:pPr>
        <w:numPr>
          <w:ilvl w:val="0"/>
          <w:numId w:val="1004"/>
        </w:numPr>
        <w:pStyle w:val="Compact"/>
      </w:pPr>
      <w:r>
        <w:rPr>
          <w:bCs/>
          <w:b/>
        </w:rPr>
        <w:t xml:space="preserve">Hyper-Localization:</w:t>
      </w:r>
      <w:r>
        <w:t xml:space="preserve"> </w:t>
      </w:r>
      <w:r>
        <w:t xml:space="preserve">Launching district-specific service packages (e.g., "Rome Trastevere Business Compliance") to capture neighborhood-level market share.</w:t>
      </w:r>
    </w:p>
    <w:p>
      <w:pPr>
        <w:numPr>
          <w:ilvl w:val="0"/>
          <w:numId w:val="1004"/>
        </w:numPr>
        <w:pStyle w:val="Compact"/>
      </w:pPr>
      <w:r>
        <w:rPr>
          <w:bCs/>
          <w:b/>
        </w:rPr>
        <w:t xml:space="preserve">Technology Integration:</w:t>
      </w:r>
      <w:r>
        <w:t xml:space="preserve"> </w:t>
      </w:r>
      <w:r>
        <w:t xml:space="preserve">Implementing blockchain case management for transparent client reporting – a first for Italy Rome's legal sector.</w:t>
      </w:r>
    </w:p>
    <w:p>
      <w:pPr>
        <w:numPr>
          <w:ilvl w:val="0"/>
          <w:numId w:val="1004"/>
        </w:numPr>
        <w:pStyle w:val="Compact"/>
      </w:pPr>
      <w:r>
        <w:rPr>
          <w:bCs/>
          <w:b/>
        </w:rPr>
        <w:t xml:space="preserve">Community Engagement:</w:t>
      </w:r>
      <w:r>
        <w:t xml:space="preserve"> </w:t>
      </w:r>
      <w:r>
        <w:t xml:space="preserve">Partnering with Roma Tre University to establish the "Rome Legal Innovation Hub," targeting 30% of new clients through academic referrals.</w:t>
      </w:r>
    </w:p>
    <w:bookmarkEnd w:id="26"/>
    <w:bookmarkStart w:id="27" w:name="conclusion-the-rome-advantage"/>
    <w:p>
      <w:pPr>
        <w:pStyle w:val="Heading2"/>
      </w:pPr>
      <w:r>
        <w:t xml:space="preserve">Conclusion: The Rome Advantage</w:t>
      </w:r>
    </w:p>
    <w:p>
      <w:pPr>
        <w:pStyle w:val="FirstParagraph"/>
      </w:pPr>
      <w:r>
        <w:t xml:space="preserve">This Sales Report conclusively demonstrates that [Law Firm Name] has mastered the art of legal sales in Italy Rome. By embedding our operations within Rome's unique regulatory ecosystem – not merely offering generic legal services but becoming an indispensable part of the city's professional infrastructure – we've established a sustainable competitive edge. Our focus on translating complex Italian jurisprudence into tangible business outcomes for clients has transformed us from a standard</w:t>
      </w:r>
      <w:r>
        <w:t xml:space="preserve"> </w:t>
      </w:r>
      <w:r>
        <w:rPr>
          <w:bCs/>
          <w:b/>
        </w:rPr>
        <w:t xml:space="preserve">Lawyer</w:t>
      </w:r>
      <w:r>
        <w:t xml:space="preserve"> </w:t>
      </w:r>
      <w:r>
        <w:t xml:space="preserve">practice into Rome's most sought-after legal partner.</w:t>
      </w:r>
    </w:p>
    <w:p>
      <w:pPr>
        <w:pStyle w:val="BodyText"/>
      </w:pPr>
      <w:r>
        <w:t xml:space="preserve">The data is unequivocal: In the fiercely competitive landscape of Italy Rome, specialization combined with strategic sales execution yields measurable market dominance. As we enter 2024, our roadmap will further cement this position by expanding our Rome-specific service portfolio while maintaining the personal touch that defines exceptional client relationships in Italy's capital city. This Sales Report represents not just a performance summary, but a strategic blueprint for legal excellence in one of Europe's most demanding metropolitan markets.</w:t>
      </w:r>
    </w:p>
    <w:p>
      <w:pPr>
        <w:pStyle w:val="BodyText"/>
      </w:pPr>
      <w:r>
        <w:rPr>
          <w:bCs/>
          <w:b/>
        </w:rPr>
        <w:t xml:space="preserve">Prepared for:</w:t>
      </w:r>
      <w:r>
        <w:t xml:space="preserve"> </w:t>
      </w:r>
      <w:r>
        <w:t xml:space="preserve">Board of Directors, [Law Firm Name]</w:t>
      </w:r>
      <w:r>
        <w:br/>
      </w:r>
      <w:r>
        <w:rPr>
          <w:bCs/>
          <w:b/>
        </w:rPr>
        <w:t xml:space="preserve">Date:</w:t>
      </w:r>
      <w:r>
        <w:t xml:space="preserve"> </w:t>
      </w:r>
      <w:r>
        <w:t xml:space="preserve">October 26, 2023</w:t>
      </w:r>
      <w:r>
        <w:br/>
      </w:r>
      <w:r>
        <w:rPr>
          <w:bCs/>
          <w:b/>
        </w:rPr>
        <w:t xml:space="preserve">Geographic Focus:</w:t>
      </w:r>
      <w:r>
        <w:t xml:space="preserve"> </w:t>
      </w:r>
      <w:r>
        <w:t xml:space="preserve">Italy Rome (All Services Delivered Within Rome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Rome Legal Services</dc:title>
  <dc:creator/>
  <dc:language>en</dc:language>
  <cp:keywords/>
  <dcterms:created xsi:type="dcterms:W3CDTF">2026-07-23T10:46:17Z</dcterms:created>
  <dcterms:modified xsi:type="dcterms:W3CDTF">2026-07-23T10:46:17Z</dcterms:modified>
</cp:coreProperties>
</file>

<file path=docProps/custom.xml><?xml version="1.0" encoding="utf-8"?>
<Properties xmlns="http://schemas.openxmlformats.org/officeDocument/2006/custom-properties" xmlns:vt="http://schemas.openxmlformats.org/officeDocument/2006/docPropsVTypes"/>
</file>