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Kyoto,</w:t>
      </w:r>
      <w:r>
        <w:t xml:space="preserve"> </w:t>
      </w:r>
      <w:r>
        <w:t xml:space="preserve">Japan</w:t>
      </w:r>
    </w:p>
    <w:bookmarkStart w:id="27" w:name="X899297eeb59e36b019f8a746426759d89cbb69a"/>
    <w:p>
      <w:pPr>
        <w:pStyle w:val="Heading1"/>
      </w:pPr>
      <w:r>
        <w:t xml:space="preserve">Comprehensive Sales Report: Premium Legal Services in Kyoto, Japan</w:t>
      </w:r>
    </w:p>
    <w:bookmarkStart w:id="20" w:name="executive-summary"/>
    <w:p>
      <w:pPr>
        <w:pStyle w:val="Heading2"/>
      </w:pPr>
      <w:r>
        <w:t xml:space="preserve">Executive Summary</w:t>
      </w:r>
    </w:p>
    <w:p>
      <w:pPr>
        <w:pStyle w:val="FirstParagraph"/>
      </w:pPr>
      <w:r>
        <w:t xml:space="preserve">This official Sales Report details the performance and strategic outlook for our distinguished legal practice operating across Japan Kyoto. As a premier law firm specializing in cross-border commercial litigation, intellectual property protection, and corporate compliance within the vibrant economic hub of Kyoto, we have achieved remarkable growth in client acquisition and service delivery. This document underscores how our unique legal expertise has positioned us as the preferred</w:t>
      </w:r>
      <w:r>
        <w:t xml:space="preserve"> </w:t>
      </w:r>
      <w:r>
        <w:rPr>
          <w:bCs/>
          <w:b/>
        </w:rPr>
        <w:t xml:space="preserve">Lawyer</w:t>
      </w:r>
      <w:r>
        <w:t xml:space="preserve"> </w:t>
      </w:r>
      <w:r>
        <w:t xml:space="preserve">partner for international businesses navigating Japan's complex regulatory landscape.</w:t>
      </w:r>
    </w:p>
    <w:bookmarkEnd w:id="20"/>
    <w:bookmarkStart w:id="21" w:name="X5eabea8238139b67b97e9c96f98d9576924b8bd"/>
    <w:p>
      <w:pPr>
        <w:pStyle w:val="Heading2"/>
      </w:pPr>
      <w:r>
        <w:t xml:space="preserve">Market Analysis: Kyoto's Legal Landscape (2023-2024)</w:t>
      </w:r>
    </w:p>
    <w:p>
      <w:pPr>
        <w:pStyle w:val="FirstParagraph"/>
      </w:pPr>
      <w:r>
        <w:t xml:space="preserve">Kyoto, Japan represents a critical nexus for legal services due to its status as both a historic cultural center and an emerging tech innovation zone. Our analysis reveals that 68% of multinational corporations entering Japan Kyoto face initial compliance hurdles, creating substantial demand for specialized legal counsel. This Sales Report confirms that Kyoto's corporate legal market grew by 12% year-over-year (vs. national average of 7%), driven by increased foreign investment in traditional industries (ceramics, textiles) and new tech ventures in the Kyoto Innovation District.</w:t>
      </w:r>
    </w:p>
    <w:p>
      <w:pPr>
        <w:pStyle w:val="BodyText"/>
      </w:pPr>
      <w:r>
        <w:t xml:space="preserve">Crucially, our firm has capitalized on Kyoto's unique cultural context. Unlike Tokyo-centric law firms, we leverage deep local knowledge of Kyoto's business customs – from Geisha district corporate hospitality norms to temple-based land ownership regulations – making us the definitive</w:t>
      </w:r>
      <w:r>
        <w:t xml:space="preserve"> </w:t>
      </w:r>
      <w:r>
        <w:rPr>
          <w:bCs/>
          <w:b/>
        </w:rPr>
        <w:t xml:space="preserve">Lawyer</w:t>
      </w:r>
      <w:r>
        <w:t xml:space="preserve"> </w:t>
      </w:r>
      <w:r>
        <w:t xml:space="preserve">for culturally nuanced engagements in Japan Kyoto. This differentiation directly contributed to our 24% YoY client growth in the region.</w:t>
      </w:r>
    </w:p>
    <w:bookmarkEnd w:id="21"/>
    <w:bookmarkStart w:id="22" w:name="X40511acb42fad7dc4667f3e1ccbf2f8bce43fe9"/>
    <w:p>
      <w:pPr>
        <w:pStyle w:val="Heading2"/>
      </w:pPr>
      <w:r>
        <w:t xml:space="preserve">Sales Performance: Quantitative Excellence</w:t>
      </w:r>
    </w:p>
    <w:p>
      <w:pPr>
        <w:pStyle w:val="FirstParagraph"/>
      </w:pPr>
      <w:r>
        <w:t xml:space="preserve">Service Category</w:t>
      </w:r>
    </w:p>
    <w:p>
      <w:pPr>
        <w:pStyle w:val="BodyText"/>
      </w:pPr>
      <w:r>
        <w:t xml:space="preserve">Q1 2023 (¥)</w:t>
      </w:r>
    </w:p>
    <w:p>
      <w:pPr>
        <w:pStyle w:val="BodyText"/>
      </w:pPr>
      <w:r>
        <w:t xml:space="preserve">Q4 2023 (¥)</w:t>
      </w:r>
    </w:p>
    <w:p>
      <w:pPr>
        <w:pStyle w:val="BodyText"/>
      </w:pPr>
      <w:r>
        <w:t xml:space="preserve">Growth (%)</w:t>
      </w:r>
    </w:p>
    <w:p>
      <w:pPr>
        <w:pStyle w:val="BodyText"/>
      </w:pPr>
      <w:r>
        <w:t xml:space="preserve">Commercial Disputes</w:t>
      </w:r>
    </w:p>
    <w:p>
      <w:pPr>
        <w:pStyle w:val="BodyText"/>
      </w:pPr>
      <w:r>
        <w:t xml:space="preserve">8,500,000</w:t>
      </w:r>
    </w:p>
    <w:p>
      <w:pPr>
        <w:pStyle w:val="BodyText"/>
      </w:pPr>
      <w:r>
        <w:t xml:space="preserve">11,245,000</w:t>
      </w:r>
    </w:p>
    <w:p>
      <w:pPr>
        <w:pStyle w:val="BodyText"/>
      </w:pPr>
      <w:r>
        <w:t xml:space="preserve">+32.3%</w:t>
      </w:r>
    </w:p>
    <w:p>
      <w:pPr>
        <w:pStyle w:val="BodyText"/>
      </w:pPr>
      <w:r>
        <w:t xml:space="preserve">IP Protection (Kyoto Traditions)</w:t>
      </w:r>
    </w:p>
    <w:p>
      <w:pPr>
        <w:pStyle w:val="BodyText"/>
      </w:pPr>
      <w:r>
        <w:t xml:space="preserve">4,256,789</w:t>
      </w:r>
    </w:p>
    <w:p>
      <w:pPr>
        <w:pStyle w:val="BodyText"/>
      </w:pPr>
      <w:r>
        <w:t xml:space="preserve">&lt;</w:t>
      </w:r>
    </w:p>
    <w:p>
      <w:pPr>
        <w:pStyle w:val="BodyText"/>
      </w:pPr>
      <w:r>
        <w:t xml:space="preserve">7,890,456</w:t>
      </w:r>
    </w:p>
    <w:p>
      <w:pPr>
        <w:pStyle w:val="BodyText"/>
      </w:pPr>
      <w:r>
        <w:t xml:space="preserve">+85.4%</w:t>
      </w:r>
    </w:p>
    <w:p>
      <w:pPr>
        <w:pStyle w:val="BodyText"/>
      </w:pPr>
      <w:r>
        <w:t xml:space="preserve">Cross-Border M&amp;A</w:t>
      </w:r>
    </w:p>
    <w:p>
      <w:pPr>
        <w:pStyle w:val="BodyText"/>
      </w:pPr>
      <w:r>
        <w:t xml:space="preserve">12,300,000</w:t>
      </w:r>
    </w:p>
    <w:p>
      <w:pPr>
        <w:pStyle w:val="BodyText"/>
      </w:pPr>
      <w:r>
        <w:t xml:space="preserve">16,452,317</w:t>
      </w:r>
    </w:p>
    <w:p>
      <w:pPr>
        <w:pStyle w:val="BodyText"/>
      </w:pPr>
      <w:r>
        <w:t xml:space="preserve">+33.7%</w:t>
      </w:r>
    </w:p>
    <w:p>
      <w:pPr>
        <w:pStyle w:val="BodyText"/>
      </w:pPr>
      <w:r>
        <w:t xml:space="preserve">Compliance (Kyoto-Specific)</w:t>
      </w:r>
    </w:p>
    <w:p>
      <w:pPr>
        <w:pStyle w:val="BodyText"/>
      </w:pPr>
      <w:r>
        <w:t xml:space="preserve">5,899,245</w:t>
      </w:r>
    </w:p>
    <w:p>
      <w:pPr>
        <w:pStyle w:val="BodyText"/>
      </w:pPr>
      <w:r>
        <w:t xml:space="preserve">&lt;</w:t>
      </w:r>
    </w:p>
    <w:p>
      <w:pPr>
        <w:pStyle w:val="BodyText"/>
      </w:pPr>
      <w:r>
        <w:t xml:space="preserve">8,601,002</w:t>
      </w:r>
    </w:p>
    <w:p>
      <w:pPr>
        <w:pStyle w:val="BodyText"/>
      </w:pPr>
      <w:r>
        <w:t xml:space="preserve">+45.8%</w:t>
      </w:r>
    </w:p>
    <w:p>
      <w:pPr>
        <w:pStyle w:val="BodyText"/>
      </w:pPr>
      <w:r>
        <w:t xml:space="preserve">The Sales Report demonstrates exceptional traction in Kyoto's niche markets: IP protection services surged due to our specialized work safeguarding traditional Kyoto crafts (like Kiyomizu pottery and Nishijin-ori weaving) from digital infringement – a service unmatched by other Japan Kyoto law firms. Our commercial disputes division achieved record settlements for clients in the Gion entertainment district, resolving complex cultural partnership disputes with 92% success rate.</w:t>
      </w:r>
    </w:p>
    <w:bookmarkEnd w:id="22"/>
    <w:bookmarkStart w:id="23" w:name="client-profile-satisfaction-metrics"/>
    <w:p>
      <w:pPr>
        <w:pStyle w:val="Heading2"/>
      </w:pPr>
      <w:r>
        <w:t xml:space="preserve">Client Profile &amp; Satisfaction Metrics</w:t>
      </w:r>
    </w:p>
    <w:p>
      <w:pPr>
        <w:pStyle w:val="FirstParagraph"/>
      </w:pPr>
      <w:r>
        <w:t xml:space="preserve">Our Sales Report reveals a highly strategic client portfolio: 47% are European luxury brands expanding into Kyoto's tourism sector; 31% are Silicon Valley tech firms establishing R&amp;D hubs in Kyoto's innovation parks; and 22% are Japanese family-owned enterprises seeking global market entry. Key satisfaction metrics include:</w:t>
      </w:r>
    </w:p>
    <w:p>
      <w:pPr>
        <w:numPr>
          <w:ilvl w:val="0"/>
          <w:numId w:val="1001"/>
        </w:numPr>
        <w:pStyle w:val="Compact"/>
      </w:pPr>
      <w:r>
        <w:rPr>
          <w:bCs/>
          <w:b/>
        </w:rPr>
        <w:t xml:space="preserve">Net Promoter Score (NPS):</w:t>
      </w:r>
      <w:r>
        <w:t xml:space="preserve"> </w:t>
      </w:r>
      <w:r>
        <w:t xml:space="preserve">87/100 (vs. industry average of 65)</w:t>
      </w:r>
    </w:p>
    <w:p>
      <w:pPr>
        <w:numPr>
          <w:ilvl w:val="0"/>
          <w:numId w:val="1001"/>
        </w:numPr>
        <w:pStyle w:val="Compact"/>
      </w:pPr>
      <w:r>
        <w:rPr>
          <w:bCs/>
          <w:b/>
        </w:rPr>
        <w:t xml:space="preserve">Client Retention Rate:</w:t>
      </w:r>
      <w:r>
        <w:t xml:space="preserve"> </w:t>
      </w:r>
      <w:r>
        <w:t xml:space="preserve">94% in Kyoto market</w:t>
      </w:r>
    </w:p>
    <w:p>
      <w:pPr>
        <w:numPr>
          <w:ilvl w:val="0"/>
          <w:numId w:val="1001"/>
        </w:numPr>
        <w:pStyle w:val="Compact"/>
      </w:pPr>
      <w:r>
        <w:rPr>
          <w:bCs/>
          <w:b/>
        </w:rPr>
        <w:t xml:space="preserve">Cultural Alignment Rating:</w:t>
      </w:r>
      <w:r>
        <w:t xml:space="preserve"> </w:t>
      </w:r>
      <w:r>
        <w:t xml:space="preserve">"Exceptional" (93% of clients cite understanding Kyoto business etiquette as decisive factor)</w:t>
      </w:r>
    </w:p>
    <w:p>
      <w:pPr>
        <w:pStyle w:val="FirstParagraph"/>
      </w:pPr>
      <w:r>
        <w:t xml:space="preserve">A standout case involved a French fashion house requiring legal protection for its Kyoto-exclusive silk collection. Our</w:t>
      </w:r>
      <w:r>
        <w:t xml:space="preserve"> </w:t>
      </w:r>
      <w:r>
        <w:rPr>
          <w:bCs/>
          <w:b/>
        </w:rPr>
        <w:t xml:space="preserve">Lawyer</w:t>
      </w:r>
      <w:r>
        <w:t xml:space="preserve">, fluent in both French and Japanese business protocols, secured trademark registrations within 28 days (vs. industry average of 14 weeks) by leveraging Kyoto's historical archive access – a service only possible through our local expertise.</w:t>
      </w:r>
    </w:p>
    <w:bookmarkEnd w:id="23"/>
    <w:bookmarkStart w:id="24" w:name="Xf2339f1c699da1adbc37337ebcefb354249efd6"/>
    <w:p>
      <w:pPr>
        <w:pStyle w:val="Heading2"/>
      </w:pPr>
      <w:r>
        <w:t xml:space="preserve">Competitive Differentiation: Why Choose Our Kyoto Practice</w:t>
      </w:r>
    </w:p>
    <w:p>
      <w:pPr>
        <w:pStyle w:val="FirstParagraph"/>
      </w:pPr>
      <w:r>
        <w:t xml:space="preserve">This Sales Report identifies three pillars making us indispensable in Japan Kyoto:</w:t>
      </w:r>
    </w:p>
    <w:p>
      <w:pPr>
        <w:numPr>
          <w:ilvl w:val="0"/>
          <w:numId w:val="1002"/>
        </w:numPr>
        <w:pStyle w:val="Compact"/>
      </w:pPr>
      <w:r>
        <w:rPr>
          <w:bCs/>
          <w:b/>
        </w:rPr>
        <w:t xml:space="preserve">Cultural Navigation:</w:t>
      </w:r>
      <w:r>
        <w:t xml:space="preserve"> </w:t>
      </w:r>
      <w:r>
        <w:t xml:space="preserve">We maintain partnerships with 17 Kyoto cultural institutions (including the Kyoto Traditional Crafts Association), enabling legal solutions respecting local customs – impossible for foreign firms without our network.</w:t>
      </w:r>
    </w:p>
    <w:p>
      <w:pPr>
        <w:numPr>
          <w:ilvl w:val="0"/>
          <w:numId w:val="1002"/>
        </w:numPr>
        <w:pStyle w:val="Compact"/>
      </w:pPr>
      <w:r>
        <w:rPr>
          <w:bCs/>
          <w:b/>
        </w:rPr>
        <w:t xml:space="preserve">Regulatory Precision:</w:t>
      </w:r>
      <w:r>
        <w:t xml:space="preserve"> </w:t>
      </w:r>
      <w:r>
        <w:t xml:space="preserve">Our firm pioneered the "Kyoto Compliance Framework" addressing unique prefectural regulations on traditional business operations, reducing client risk by 63% according to internal audits.</w:t>
      </w:r>
    </w:p>
    <w:p>
      <w:pPr>
        <w:numPr>
          <w:ilvl w:val="0"/>
          <w:numId w:val="1002"/>
        </w:numPr>
        <w:pStyle w:val="Compact"/>
      </w:pPr>
      <w:r>
        <w:rPr>
          <w:bCs/>
          <w:b/>
        </w:rPr>
        <w:t xml:space="preserve">Digital Integration:</w:t>
      </w:r>
      <w:r>
        <w:t xml:space="preserve"> </w:t>
      </w:r>
      <w:r>
        <w:t xml:space="preserve">We offer AI-powered contract analysis tailored to Kyoto's commercial dispute precedents – a first in Japan Kyoto legal practice.</w:t>
      </w:r>
    </w:p>
    <w:bookmarkEnd w:id="24"/>
    <w:bookmarkStart w:id="25" w:name="strategic-growth-plan-for-japan-kyoto"/>
    <w:p>
      <w:pPr>
        <w:pStyle w:val="Heading2"/>
      </w:pPr>
      <w:r>
        <w:t xml:space="preserve">Strategic Growth Plan for Japan Kyoto</w:t>
      </w:r>
    </w:p>
    <w:p>
      <w:pPr>
        <w:pStyle w:val="FirstParagraph"/>
      </w:pPr>
      <w:r>
        <w:t xml:space="preserve">Based on Sales Report analytics, we're launching three initiatives targeting Kyōto's emerging market:</w:t>
      </w:r>
    </w:p>
    <w:p>
      <w:pPr>
        <w:numPr>
          <w:ilvl w:val="0"/>
          <w:numId w:val="1003"/>
        </w:numPr>
        <w:pStyle w:val="Compact"/>
      </w:pPr>
      <w:r>
        <w:rPr>
          <w:bCs/>
          <w:b/>
        </w:rPr>
        <w:t xml:space="preserve">Kyoto Cultural IP Hub:</w:t>
      </w:r>
      <w:r>
        <w:t xml:space="preserve"> </w:t>
      </w:r>
      <w:r>
        <w:t xml:space="preserve">Dedicated service for protecting intangible cultural assets (slated for Q1 2025 launch). Projected revenue: ¥35M annually from tourism/heritage clients.</w:t>
      </w:r>
    </w:p>
    <w:p>
      <w:pPr>
        <w:numPr>
          <w:ilvl w:val="0"/>
          <w:numId w:val="1003"/>
        </w:numPr>
        <w:pStyle w:val="Compact"/>
      </w:pPr>
      <w:r>
        <w:rPr>
          <w:bCs/>
          <w:b/>
        </w:rPr>
        <w:t xml:space="preserve">Sustainable Business Compliance Program:</w:t>
      </w:r>
      <w:r>
        <w:t xml:space="preserve"> </w:t>
      </w:r>
      <w:r>
        <w:t xml:space="preserve">Addressing Kyoto's new carbon-neutral business mandates. Initial client pipeline shows 41% interest from Kyoto-based manufacturers.</w:t>
      </w:r>
    </w:p>
    <w:p>
      <w:pPr>
        <w:numPr>
          <w:ilvl w:val="0"/>
          <w:numId w:val="1003"/>
        </w:numPr>
        <w:pStyle w:val="Compact"/>
      </w:pPr>
      <w:r>
        <w:rPr>
          <w:bCs/>
          <w:b/>
        </w:rPr>
        <w:t xml:space="preserve">English-Japanese Bilingual Legal Portal:</w:t>
      </w:r>
      <w:r>
        <w:t xml:space="preserve"> </w:t>
      </w:r>
      <w:r>
        <w:t xml:space="preserve">Online platform enabling real-time contract drafting in both languages, specifically adapted to Kyoto commercial customs (beta launch: October 2024).</w:t>
      </w:r>
    </w:p>
    <w:bookmarkEnd w:id="25"/>
    <w:bookmarkStart w:id="26" w:name="X76f782cfab9eaf61272200eae71de2c9ad33766"/>
    <w:p>
      <w:pPr>
        <w:pStyle w:val="Heading2"/>
      </w:pPr>
      <w:r>
        <w:t xml:space="preserve">Conclusion: The Future of Legal Excellence in Japan Kyoto</w:t>
      </w:r>
    </w:p>
    <w:p>
      <w:pPr>
        <w:pStyle w:val="FirstParagraph"/>
      </w:pPr>
      <w:r>
        <w:t xml:space="preserve">This Sales Report affirms our leadership position as the most trusted</w:t>
      </w:r>
      <w:r>
        <w:t xml:space="preserve"> </w:t>
      </w:r>
      <w:r>
        <w:rPr>
          <w:bCs/>
          <w:b/>
        </w:rPr>
        <w:t xml:space="preserve">Lawyer</w:t>
      </w:r>
      <w:r>
        <w:t xml:space="preserve"> </w:t>
      </w:r>
      <w:r>
        <w:t xml:space="preserve">partner for sophisticated businesses operating within Japan Kyoto. Our revenue has outpaced market growth by 58% while maintaining premium service standards – a testament to our culturally intelligent legal approach. The data confirms that understanding Kyoto's unique business ecosystem isn't merely advantageous; it's the fundamental driver of sales success.</w:t>
      </w:r>
    </w:p>
    <w:p>
      <w:pPr>
        <w:pStyle w:val="BodyText"/>
      </w:pPr>
      <w:r>
        <w:t xml:space="preserve">As Kyoto continues to evolve as Japan's gateway for sustainable innovation, our firm will deepen roots in the city through partnerships with Kyoto University Law School and the Kyoto Chamber of Commerce. We project 35% revenue growth for Japan Kyoto operations by FY2026, primarily from clients leveraging our specialized expertise in navigating the intersection of tradition and modern commerce.</w:t>
      </w:r>
    </w:p>
    <w:p>
      <w:pPr>
        <w:pStyle w:val="BodyText"/>
      </w:pPr>
      <w:r>
        <w:t xml:space="preserve">For businesses seeking more than transactional legal services – but a strategic partner who understands Kyoto's soul – our firm delivers unparalleled value. This Sales Report concludes that in Japan Kyoto, true legal excellence requires cultural depth. We are proud to be the only law practice where "Kyoto" isn't just a location, but the foundation of every legal solution.</w:t>
      </w:r>
    </w:p>
    <w:p>
      <w:pPr>
        <w:pStyle w:val="BodyText"/>
      </w:pPr>
      <w:r>
        <w:rPr>
          <w:bCs/>
          <w:b/>
        </w:rPr>
        <w:t xml:space="preserve">Prepared by: International Legal Strategy Division</w:t>
      </w:r>
      <w:r>
        <w:br/>
      </w:r>
      <w:r>
        <w:rPr>
          <w:iCs/>
          <w:i/>
        </w:rPr>
        <w:t xml:space="preserve">Verified for Japan Kyoto Market Conditions |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Kyoto, Japan</dc:title>
  <dc:creator/>
  <dc:language>en</dc:language>
  <cp:keywords/>
  <dcterms:created xsi:type="dcterms:W3CDTF">2026-07-24T00:25:53Z</dcterms:created>
  <dcterms:modified xsi:type="dcterms:W3CDTF">2026-07-24T00:25:53Z</dcterms:modified>
</cp:coreProperties>
</file>

<file path=docProps/custom.xml><?xml version="1.0" encoding="utf-8"?>
<Properties xmlns="http://schemas.openxmlformats.org/officeDocument/2006/custom-properties" xmlns:vt="http://schemas.openxmlformats.org/officeDocument/2006/docPropsVTypes"/>
</file>