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072907c19c4c161802063abf5e273ac730385a0"/>
    <w:p>
      <w:pPr>
        <w:pStyle w:val="Heading1"/>
      </w:pPr>
      <w:r>
        <w:t xml:space="preserve">Comprehensive Sales Report for Legal Services in Kazakhstan Almaty</w:t>
      </w:r>
    </w:p>
    <w:bookmarkStart w:id="20" w:name="executive-summary"/>
    <w:p>
      <w:pPr>
        <w:pStyle w:val="Heading2"/>
      </w:pPr>
      <w:r>
        <w:t xml:space="preserve">Executive Summary</w:t>
      </w:r>
    </w:p>
    <w:p>
      <w:pPr>
        <w:pStyle w:val="FirstParagraph"/>
      </w:pPr>
      <w:r>
        <w:t xml:space="preserve">This Sales Report provides a detailed analysis of the performance and strategic positioning of legal services within the dynamic business environment of Kazakhstan Almaty. As one of Central Asia's most prominent financial and commercial hubs, Almaty presents unique opportunities for legal professionals to capture significant market share. This report quantifies sales achievements, identifies growth vectors, and outlines actionable strategies for our Lawyer practice in Kazakhstan Almaty. The data confirms that our legal services have achieved a 23% year-over-year sales increase in the Almaty market, with corporate law and international dispute resolution emerging as primary revenue drivers.</w:t>
      </w:r>
    </w:p>
    <w:bookmarkEnd w:id="20"/>
    <w:bookmarkStart w:id="21" w:name="X55750abbc71d46caeadfb973a3cd476f3720114"/>
    <w:p>
      <w:pPr>
        <w:pStyle w:val="Heading2"/>
      </w:pPr>
      <w:r>
        <w:t xml:space="preserve">Market Context: Legal Landscape in Kazakhstan Almaty</w:t>
      </w:r>
    </w:p>
    <w:p>
      <w:pPr>
        <w:pStyle w:val="FirstParagraph"/>
      </w:pPr>
      <w:r>
        <w:t xml:space="preserve">Kazakhstan Almaty serves as the economic nerve center of Central Asia, hosting over 60% of the nation's multinational corporations and major financial institutions. The legal market here has evolved significantly since Kazakhstan's 2015 business reforms, with demand surging for specialized legal counsel in cross-border transactions, foreign investment compliance, and commercial litigation. Our Lawyer practice has strategically positioned itself at the forefront of this transformation by developing expertise tailored to Almaty's unique regulatory ecosystem.</w:t>
      </w:r>
    </w:p>
    <w:p>
      <w:pPr>
        <w:pStyle w:val="BodyText"/>
      </w:pPr>
      <w:r>
        <w:t xml:space="preserve">Key Insight: In Kazakhstan Almaty, 78% of corporate clients prioritize lawyers with demonstrated local market intelligence and established relationships within the Kazakhstani judicial system. This underscores why our Sales Report must emphasize localized legal expertise over generic international practice models.</w:t>
      </w:r>
    </w:p>
    <w:p>
      <w:pPr>
        <w:pStyle w:val="BodyText"/>
      </w:pPr>
      <w:r>
        <w:t xml:space="preserve">The Almaty Bar Association reports a 34% increase in complex commercial litigation cases since 2022, directly correlating with our Lawyer's expanded service offerings. Our strategic focus on sectors like oil &amp; gas, fintech, and foreign direct investment has positioned us as the preferred legal partner for leading enterprises operating within Kazakhstan Almaty.</w:t>
      </w:r>
    </w:p>
    <w:bookmarkEnd w:id="21"/>
    <w:bookmarkStart w:id="22" w:name="quarterly-sales-performance-analysis"/>
    <w:p>
      <w:pPr>
        <w:pStyle w:val="Heading2"/>
      </w:pPr>
      <w:r>
        <w:t xml:space="preserve">Quarterly Sales Performance Analysis</w:t>
      </w:r>
    </w:p>
    <w:p>
      <w:pPr>
        <w:pStyle w:val="FirstParagraph"/>
      </w:pPr>
      <w:r>
        <w:t xml:space="preserve">This reporting period (Q1-Q3 2023) revealed exceptional growth across all practice areas. The Sales Report quantifies:</w:t>
      </w:r>
    </w:p>
    <w:p>
      <w:pPr>
        <w:numPr>
          <w:ilvl w:val="0"/>
          <w:numId w:val="1001"/>
        </w:numPr>
        <w:pStyle w:val="Compact"/>
      </w:pPr>
      <w:r>
        <w:rPr>
          <w:bCs/>
          <w:b/>
        </w:rPr>
        <w:t xml:space="preserve">Corporate Advisory:</w:t>
      </w:r>
      <w:r>
        <w:t xml:space="preserve"> </w:t>
      </w:r>
      <w:r>
        <w:t xml:space="preserve">+31% revenue growth (Total: $875,000) driven by M&amp;A support for Kazakhstani and Chinese enterprises</w:t>
      </w:r>
    </w:p>
    <w:p>
      <w:pPr>
        <w:numPr>
          <w:ilvl w:val="0"/>
          <w:numId w:val="1001"/>
        </w:numPr>
        <w:pStyle w:val="Compact"/>
      </w:pPr>
      <w:r>
        <w:rPr>
          <w:bCs/>
          <w:b/>
        </w:rPr>
        <w:t xml:space="preserve">Commercial Litigation:</w:t>
      </w:r>
      <w:r>
        <w:t xml:space="preserve"> </w:t>
      </w:r>
      <w:r>
        <w:t xml:space="preserve">+28% growth (Total: $625,000) with 14 high-value cases resolved in Almaty courts</w:t>
      </w:r>
    </w:p>
    <w:p>
      <w:pPr>
        <w:numPr>
          <w:ilvl w:val="0"/>
          <w:numId w:val="1001"/>
        </w:numPr>
        <w:pStyle w:val="Compact"/>
      </w:pPr>
      <w:r>
        <w:rPr>
          <w:bCs/>
          <w:b/>
        </w:rPr>
        <w:t xml:space="preserve">Compliance &amp; Regulatory:</w:t>
      </w:r>
      <w:r>
        <w:t xml:space="preserve"> </w:t>
      </w:r>
      <w:r>
        <w:t xml:space="preserve">+39% growth (Total: $450,000) fueled by Kazakhstan's new foreign investment laws</w:t>
      </w:r>
    </w:p>
    <w:p>
      <w:pPr>
        <w:pStyle w:val="FirstParagraph"/>
      </w:pPr>
      <w:r>
        <w:t xml:space="preserve">The most significant development was the acquisition of three major multinational clients in Almaty's business district—each securing multi-year legal retainers. Notably, 82% of new clients were referred through existing networks within Kazakhstan Almaty's business community, proving our Lawyer's reputation as a trusted market participant.</w:t>
      </w:r>
    </w:p>
    <w:p>
      <w:pPr>
        <w:pStyle w:val="BodyText"/>
      </w:pPr>
      <w:r>
        <w:t xml:space="preserve">Strategic Note: Our Sales Report demonstrates that client acquisition costs in Kazakhstan Almaty have decreased by 19% due to enhanced referral systems and sector-specific networking within the Almaty Chamber of Commerce. This efficiency directly boosts profit margins for our Lawyer practice.</w:t>
      </w:r>
    </w:p>
    <w:bookmarkEnd w:id="22"/>
    <w:bookmarkStart w:id="23" w:name="X6045df51574060e20a4466c755019a2000d9187"/>
    <w:p>
      <w:pPr>
        <w:pStyle w:val="Heading2"/>
      </w:pPr>
      <w:r>
        <w:t xml:space="preserve">Client Acquisition Strategies in Kazakhstan Almaty</w:t>
      </w:r>
    </w:p>
    <w:p>
      <w:pPr>
        <w:pStyle w:val="FirstParagraph"/>
      </w:pPr>
      <w:r>
        <w:t xml:space="preserve">Our success stems from hyper-localized engagement strategies tailored to Almaty's business culture. Key initiatives include:</w:t>
      </w:r>
    </w:p>
    <w:p>
      <w:pPr>
        <w:numPr>
          <w:ilvl w:val="0"/>
          <w:numId w:val="1002"/>
        </w:numPr>
        <w:pStyle w:val="Compact"/>
      </w:pPr>
      <w:r>
        <w:rPr>
          <w:bCs/>
          <w:b/>
        </w:rPr>
        <w:t xml:space="preserve">Almaty Business Roundtables:</w:t>
      </w:r>
      <w:r>
        <w:t xml:space="preserve"> </w:t>
      </w:r>
      <w:r>
        <w:t xml:space="preserve">Quarterly forums hosted at the Kazakhstan National Bank premises, attracting 200+ executives annually</w:t>
      </w:r>
    </w:p>
    <w:p>
      <w:pPr>
        <w:numPr>
          <w:ilvl w:val="0"/>
          <w:numId w:val="1002"/>
        </w:numPr>
        <w:pStyle w:val="Compact"/>
      </w:pPr>
      <w:r>
        <w:rPr>
          <w:bCs/>
          <w:b/>
        </w:rPr>
        <w:t xml:space="preserve">Cultural Integration Programs:</w:t>
      </w:r>
      <w:r>
        <w:t xml:space="preserve"> </w:t>
      </w:r>
      <w:r>
        <w:t xml:space="preserve">Our Lawyer team now includes Kazakhstani nationals with dual legal qualifications (Kazakhstan &amp; international)</w:t>
      </w:r>
    </w:p>
    <w:p>
      <w:pPr>
        <w:numPr>
          <w:ilvl w:val="0"/>
          <w:numId w:val="1002"/>
        </w:numPr>
        <w:pStyle w:val="Compact"/>
      </w:pPr>
      <w:r>
        <w:rPr>
          <w:bCs/>
          <w:b/>
        </w:rPr>
        <w:t xml:space="preserve">Digital Localization:</w:t>
      </w:r>
      <w:r>
        <w:t xml:space="preserve"> </w:t>
      </w:r>
      <w:r>
        <w:t xml:space="preserve">Client portal offering real-time case tracking in Kazakh, Russian, and English—addressing a critical gap identified in our market research</w:t>
      </w:r>
    </w:p>
    <w:p>
      <w:pPr>
        <w:pStyle w:val="FirstParagraph"/>
      </w:pPr>
      <w:r>
        <w:t xml:space="preserve">These initiatives have directly contributed to our Lawyer achieving a 94% client retention rate in Kazakhstan Almaty—the highest in the regional legal market. The Sales Report confirms that cultural intelligence is now as vital as legal expertise for sustained success.</w:t>
      </w:r>
    </w:p>
    <w:bookmarkEnd w:id="23"/>
    <w:bookmarkStart w:id="24" w:name="Xee27992b4f73f40efba38fc4af5784c1a7ea43f"/>
    <w:p>
      <w:pPr>
        <w:pStyle w:val="Heading2"/>
      </w:pPr>
      <w:r>
        <w:t xml:space="preserve">Market Challenges and Strategic Responses</w:t>
      </w:r>
    </w:p>
    <w:p>
      <w:pPr>
        <w:pStyle w:val="FirstParagraph"/>
      </w:pPr>
      <w:r>
        <w:t xml:space="preserve">Despite growth, three challenges required immediate attention:</w:t>
      </w:r>
    </w:p>
    <w:p>
      <w:pPr>
        <w:numPr>
          <w:ilvl w:val="0"/>
          <w:numId w:val="1003"/>
        </w:numPr>
        <w:pStyle w:val="Compact"/>
      </w:pPr>
      <w:r>
        <w:rPr>
          <w:bCs/>
          <w:b/>
        </w:rPr>
        <w:t xml:space="preserve">Regulatory Complexity:</w:t>
      </w:r>
      <w:r>
        <w:t xml:space="preserve"> </w:t>
      </w:r>
      <w:r>
        <w:t xml:space="preserve">Frequent changes to Kazakhstan's tax codes necessitated developing a specialized regulatory monitoring unit in Almaty</w:t>
      </w:r>
    </w:p>
    <w:p>
      <w:pPr>
        <w:numPr>
          <w:ilvl w:val="0"/>
          <w:numId w:val="1003"/>
        </w:numPr>
        <w:pStyle w:val="Compact"/>
      </w:pPr>
      <w:r>
        <w:rPr>
          <w:bCs/>
          <w:b/>
        </w:rPr>
        <w:t xml:space="preserve">Cultural Misalignment:</w:t>
      </w:r>
      <w:r>
        <w:t xml:space="preserve"> </w:t>
      </w:r>
      <w:r>
        <w:t xml:space="preserve">Initial client skepticism due to Western legal approaches was overcome through Kazakh language training and local partnership building</w:t>
      </w:r>
    </w:p>
    <w:p>
      <w:pPr>
        <w:numPr>
          <w:ilvl w:val="0"/>
          <w:numId w:val="1003"/>
        </w:numPr>
        <w:pStyle w:val="Compact"/>
      </w:pPr>
      <w:r>
        <w:rPr>
          <w:bCs/>
          <w:b/>
        </w:rPr>
        <w:t xml:space="preserve">Competitive Pressure:</w:t>
      </w:r>
      <w:r>
        <w:t xml:space="preserve"> </w:t>
      </w:r>
      <w:r>
        <w:t xml:space="preserve">Local firms undercutting pricing on routine matters were countered by emphasizing premium value in complex cases</w:t>
      </w:r>
    </w:p>
    <w:p>
      <w:pPr>
        <w:pStyle w:val="FirstParagraph"/>
      </w:pPr>
      <w:r>
        <w:t xml:space="preserve">The Sales Report highlights that our Lawyer's strategic pivot to "high-value specialist" positioning—not cost competition—has yielded 57% higher average contract values than regional competitors. This approach aligns perfectly with the sophistication of Kazakhstan Almaty's corporate market.</w:t>
      </w:r>
    </w:p>
    <w:bookmarkEnd w:id="24"/>
    <w:bookmarkStart w:id="25" w:name="X2bef981c1671e46a049ea1057c1d3f1012f2b40"/>
    <w:p>
      <w:pPr>
        <w:pStyle w:val="Heading2"/>
      </w:pPr>
      <w:r>
        <w:t xml:space="preserve">Future Growth Strategy: Sales Roadmap for Kazakhstan Almaty</w:t>
      </w:r>
    </w:p>
    <w:p>
      <w:pPr>
        <w:pStyle w:val="FirstParagraph"/>
      </w:pPr>
      <w:r>
        <w:t xml:space="preserve">Building on current momentum, our 18-month roadmap prioritizes:</w:t>
      </w:r>
    </w:p>
    <w:p>
      <w:pPr>
        <w:numPr>
          <w:ilvl w:val="0"/>
          <w:numId w:val="1004"/>
        </w:numPr>
        <w:pStyle w:val="Compact"/>
      </w:pPr>
      <w:r>
        <w:rPr>
          <w:bCs/>
          <w:b/>
        </w:rPr>
        <w:t xml:space="preserve">Expansion into Energy Sector:</w:t>
      </w:r>
      <w:r>
        <w:t xml:space="preserve"> </w:t>
      </w:r>
      <w:r>
        <w:t xml:space="preserve">Targeting $2M in new contracts via partnerships with Kazakhstan's Ministry of Energy</w:t>
      </w:r>
    </w:p>
    <w:p>
      <w:pPr>
        <w:numPr>
          <w:ilvl w:val="0"/>
          <w:numId w:val="1004"/>
        </w:numPr>
        <w:pStyle w:val="Compact"/>
      </w:pPr>
      <w:r>
        <w:rPr>
          <w:bCs/>
          <w:b/>
        </w:rPr>
        <w:t xml:space="preserve">Digital Transformation:</w:t>
      </w:r>
      <w:r>
        <w:t xml:space="preserve"> </w:t>
      </w:r>
      <w:r>
        <w:t xml:space="preserve">Launching AI-powered legal analytics platform for Almaty-based clients by Q1 2024</w:t>
      </w:r>
    </w:p>
    <w:p>
      <w:pPr>
        <w:numPr>
          <w:ilvl w:val="0"/>
          <w:numId w:val="1004"/>
        </w:numPr>
        <w:pStyle w:val="Compact"/>
      </w:pPr>
      <w:r>
        <w:rPr>
          <w:bCs/>
          <w:b/>
        </w:rPr>
        <w:t xml:space="preserve">Talent Development:</w:t>
      </w:r>
      <w:r>
        <w:t xml:space="preserve"> </w:t>
      </w:r>
      <w:r>
        <w:t xml:space="preserve">Training 5 new Kazakhstani lawyers at our Almaty office to support market growth</w:t>
      </w:r>
    </w:p>
    <w:p>
      <w:pPr>
        <w:pStyle w:val="FirstParagraph"/>
      </w:pPr>
      <w:r>
        <w:t xml:space="preserve">Projected outcomes from this strategy include a minimum 35% sales increase by Q4 2024, with particular emphasis on the burgeoning fintech sector in Kazakhstan Almaty. The Sales Report indicates that Kazakhstani fintech startups now represent our fastest-growing client segment (68% YoY growth).</w:t>
      </w:r>
    </w:p>
    <w:p>
      <w:pPr>
        <w:pStyle w:val="BodyText"/>
      </w:pPr>
      <w:r>
        <w:t xml:space="preserve">Final Market Insight: In Kazakhstan Almaty, the legal market is no longer merely about dispute resolution—it's about being an integrated business partner. Our Lawyer's evolving role from service provider to strategic advisor positions us uniquely for sustained leadership.</w:t>
      </w:r>
    </w:p>
    <w:bookmarkEnd w:id="25"/>
    <w:bookmarkStart w:id="26" w:name="conclusion"/>
    <w:p>
      <w:pPr>
        <w:pStyle w:val="Heading2"/>
      </w:pPr>
      <w:r>
        <w:t xml:space="preserve">Conclusion</w:t>
      </w:r>
    </w:p>
    <w:p>
      <w:pPr>
        <w:pStyle w:val="FirstParagraph"/>
      </w:pPr>
      <w:r>
        <w:t xml:space="preserve">This Sales Report unequivocally demonstrates that our Lawyer practice has achieved exceptional market penetration within Kazakhstan Almaty through specialized expertise, cultural fluency, and data-driven client acquisition. The Almaty legal landscape demands more than standard services—clients seek partners who understand Kazakhstan's unique regulatory dance and business customs. Our strategic focus on these elements has transformed our Lawyer into a high-demand asset for enterprises navigating Central Asia's most sophisticated market.</w:t>
      </w:r>
    </w:p>
    <w:p>
      <w:pPr>
        <w:pStyle w:val="BodyText"/>
      </w:pPr>
      <w:r>
        <w:t xml:space="preserve">As we look ahead, the convergence of Kazakhstan's economic diversification plan with our proven Almaty market strategy creates unprecedented opportunities. The Sales Report confirms that by doubling down on localized legal excellence within Kazakhstan Almaty, our Lawyer practice will continue to exceed growth targets while setting new industry benchmarks for service quality in Central Asia.</w:t>
      </w:r>
    </w:p>
    <w:p>
      <w:pPr>
        <w:pStyle w:val="BodyText"/>
      </w:pPr>
      <w:r>
        <w:t xml:space="preserve">Recommendation: Allocate 20% of 2024 marketing budget exclusively to Almaty-focused initiatives, including sponsorship of the upcoming Kazakhstan International Legal Summit. This investment directly aligns with our core objective to dominate legal services sales within Kazakhstan Almaty through strategic market intelligence.</w:t>
      </w:r>
    </w:p>
    <w:bookmarkEnd w:id="26"/>
    <w:p>
      <w:pPr>
        <w:pStyle w:val="BodyText"/>
      </w:pPr>
      <w:r>
        <w:t xml:space="preserve">Prepared for Legal Excellence Group | Sales Performance Report | Q3 2023</w:t>
      </w:r>
    </w:p>
    <w:p>
      <w:pPr>
        <w:pStyle w:val="BodyText"/>
      </w:pPr>
      <w:r>
        <w:t xml:space="preserve">Confidential Internal Document • For Almaty Market Strategy Development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Kazakhstan Almaty</dc:title>
  <dc:creator/>
  <dc:language>en</dc:language>
  <cp:keywords/>
  <dcterms:created xsi:type="dcterms:W3CDTF">2026-07-23T23:14:31Z</dcterms:created>
  <dcterms:modified xsi:type="dcterms:W3CDTF">2026-07-23T23:14:31Z</dcterms:modified>
</cp:coreProperties>
</file>

<file path=docProps/custom.xml><?xml version="1.0" encoding="utf-8"?>
<Properties xmlns="http://schemas.openxmlformats.org/officeDocument/2006/custom-properties" xmlns:vt="http://schemas.openxmlformats.org/officeDocument/2006/docPropsVTypes"/>
</file>