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Kuwait</w:t>
      </w:r>
      <w:r>
        <w:t xml:space="preserve"> </w:t>
      </w:r>
      <w:r>
        <w:t xml:space="preserve">Kuwait</w:t>
      </w:r>
      <w:r>
        <w:t xml:space="preserve"> </w:t>
      </w:r>
      <w:r>
        <w:t xml:space="preserve">City</w:t>
      </w:r>
    </w:p>
    <w:bookmarkStart w:id="27" w:name="X7cae992dbb10c0b1bde06473df8747a9c17a726"/>
    <w:p>
      <w:pPr>
        <w:pStyle w:val="Heading1"/>
      </w:pPr>
      <w:r>
        <w:t xml:space="preserve">Comprehensive Sales Report for Legal Services: Strategic Performance Analysis in Kuwait Kuwait City</w:t>
      </w:r>
    </w:p>
    <w:bookmarkStart w:id="20" w:name="executive-summary"/>
    <w:p>
      <w:pPr>
        <w:pStyle w:val="Heading2"/>
      </w:pPr>
      <w:r>
        <w:t xml:space="preserve">Executive Summary</w:t>
      </w:r>
    </w:p>
    <w:p>
      <w:pPr>
        <w:pStyle w:val="FirstParagraph"/>
      </w:pPr>
      <w:r>
        <w:t xml:space="preserve">This Sales Report presents a detailed analysis of client acquisition, case volume, and market positioning for legal services within the dynamic legal landscape of Kuwait Kuwait City. As the capital city and economic hub of the State of Kuwait, Kuwait Kuwait City demands specialized legal expertise to navigate its unique commercial regulations, judicial framework, and business environment. This document serves as a critical performance dashboard for our firm's leadership team, highlighting successes in securing high-value clients while identifying strategic opportunities within this pivotal market. The data underscores how our Lawyer-centric approach has positioned us as a preferred legal partner for both multinational corporations and local entities operating across Kuwait Kuwait City.</w:t>
      </w:r>
    </w:p>
    <w:bookmarkEnd w:id="20"/>
    <w:bookmarkStart w:id="21" w:name="current-sales-performance-metrics"/>
    <w:p>
      <w:pPr>
        <w:pStyle w:val="Heading2"/>
      </w:pPr>
      <w:r>
        <w:t xml:space="preserve">Current Sales Performance Metrics</w:t>
      </w:r>
    </w:p>
    <w:p>
      <w:pPr>
        <w:pStyle w:val="FirstParagraph"/>
      </w:pPr>
      <w:r>
        <w:t xml:space="preserve">Over the past fiscal quarter, our legal practice in Kuwait Kuwait City achieved remarkable growth, securing 37 new client engagements representing $4.8 million in annualized revenue—a 28% increase from the previous period. This performance outpaces regional benchmarks by 15% and directly aligns with our strategic goal to become the foremost legal services provider within Kuwait Kuwait City's commercial ecosystem. Key metrics include:</w:t>
      </w:r>
    </w:p>
    <w:p>
      <w:pPr>
        <w:numPr>
          <w:ilvl w:val="0"/>
          <w:numId w:val="1001"/>
        </w:numPr>
        <w:pStyle w:val="Compact"/>
      </w:pPr>
      <w:r>
        <w:rPr>
          <w:bCs/>
          <w:b/>
        </w:rPr>
        <w:t xml:space="preserve">Client Acquisition Rate:</w:t>
      </w:r>
      <w:r>
        <w:t xml:space="preserve"> </w:t>
      </w:r>
      <w:r>
        <w:t xml:space="preserve">42% increase in new client signings, particularly from real estate developers and financial institutions headquartered in Kuwait Kuwait City</w:t>
      </w:r>
    </w:p>
    <w:p>
      <w:pPr>
        <w:numPr>
          <w:ilvl w:val="0"/>
          <w:numId w:val="1001"/>
        </w:numPr>
        <w:pStyle w:val="Compact"/>
      </w:pPr>
      <w:r>
        <w:rPr>
          <w:bCs/>
          <w:b/>
        </w:rPr>
        <w:t xml:space="preserve">Client Retention Rate:</w:t>
      </w:r>
      <w:r>
        <w:t xml:space="preserve"> </w:t>
      </w:r>
      <w:r>
        <w:t xml:space="preserve">92% (exceeding industry average of 85%) demonstrating exceptional client satisfaction with our specialized legal services</w:t>
      </w:r>
    </w:p>
    <w:bookmarkEnd w:id="21"/>
    <w:bookmarkStart w:id="22" w:name="kuwait-kuwait-city-market-analysis"/>
    <w:p>
      <w:pPr>
        <w:pStyle w:val="Heading2"/>
      </w:pPr>
      <w:r>
        <w:t xml:space="preserve">Kuwait Kuwait City Market Analysis</w:t>
      </w:r>
    </w:p>
    <w:p>
      <w:pPr>
        <w:pStyle w:val="FirstParagraph"/>
      </w:pPr>
      <w:r>
        <w:t xml:space="preserve">The legal market in Kuwait Kuwait City is experiencing unprecedented transformation driven by Vision 2035 economic diversification initiatives, new commercial laws, and increased foreign investment. Our Sales Report identifies three critical trends shaping opportunities:</w:t>
      </w:r>
    </w:p>
    <w:p>
      <w:pPr>
        <w:pStyle w:val="BodyText"/>
      </w:pPr>
      <w:r>
        <w:rPr>
          <w:bCs/>
          <w:b/>
        </w:rPr>
        <w:t xml:space="preserve">1. Regulatory Shifts:</w:t>
      </w:r>
      <w:r>
        <w:t xml:space="preserve"> </w:t>
      </w:r>
      <w:r>
        <w:t xml:space="preserve">Recent amendments to the Commercial Companies Law (2023) and enhanced foreign ownership regulations have created substantial demand for legal counsel in Kuwait Kuwait City. Our Lawyer team's early adoption of these changes has positioned us to capture 65% of new corporate formation cases in the capital.</w:t>
      </w:r>
    </w:p>
    <w:p>
      <w:pPr>
        <w:pStyle w:val="BodyText"/>
      </w:pPr>
      <w:r>
        <w:rPr>
          <w:bCs/>
          <w:b/>
        </w:rPr>
        <w:t xml:space="preserve">2. Sector Demand:</w:t>
      </w:r>
      <w:r>
        <w:t xml:space="preserve"> </w:t>
      </w:r>
      <w:r>
        <w:t xml:space="preserve">The oil &amp; gas sector (38% of our new cases), real estate development (27%), and fintech startups (19%) represent our most active verticals. Notably, 58% of these engagements originated from businesses operating within Kuwait Kuwait City's Central Business District, confirming the city's role as the primary legal service consumption center.</w:t>
      </w:r>
    </w:p>
    <w:p>
      <w:pPr>
        <w:pStyle w:val="BodyText"/>
      </w:pPr>
      <w:r>
        <w:rPr>
          <w:bCs/>
          <w:b/>
        </w:rPr>
        <w:t xml:space="preserve">3. Competitive Differentiation:</w:t>
      </w:r>
      <w:r>
        <w:t xml:space="preserve"> </w:t>
      </w:r>
      <w:r>
        <w:t xml:space="preserve">While local law firms dominate routine matters, our niche expertise in cross-border disputes involving Gulf Cooperation Council (GCC) jurisdictions has become a decisive factor for multinational clients operating from Kuwait Kuwait City. This specialization directly correlates with 41% of our high-value engagements.</w:t>
      </w:r>
    </w:p>
    <w:bookmarkEnd w:id="22"/>
    <w:bookmarkStart w:id="23" w:name="client-acquisition-strategy-successes"/>
    <w:p>
      <w:pPr>
        <w:pStyle w:val="Heading2"/>
      </w:pPr>
      <w:r>
        <w:t xml:space="preserve">Client Acquisition Strategy Successes</w:t>
      </w:r>
    </w:p>
    <w:p>
      <w:pPr>
        <w:pStyle w:val="FirstParagraph"/>
      </w:pPr>
      <w:r>
        <w:t xml:space="preserve">Our sales methodology, centered around the Lawyer's deep understanding of Kuwaiti legal nuances, has driven exceptional results. Key initiatives include:</w:t>
      </w:r>
    </w:p>
    <w:p>
      <w:pPr>
        <w:numPr>
          <w:ilvl w:val="0"/>
          <w:numId w:val="1002"/>
        </w:numPr>
        <w:pStyle w:val="Compact"/>
      </w:pPr>
      <w:r>
        <w:rPr>
          <w:bCs/>
          <w:b/>
        </w:rPr>
        <w:t xml:space="preserve">Clinical Market Mapping:</w:t>
      </w:r>
      <w:r>
        <w:t xml:space="preserve"> </w:t>
      </w:r>
      <w:r>
        <w:t xml:space="preserve">We've developed a proprietary database profiling every major business entity in Kuwait Kuwait City, enabling targeted outreach to decision-makers based on their specific compliance needs</w:t>
      </w:r>
    </w:p>
    <w:p>
      <w:pPr>
        <w:numPr>
          <w:ilvl w:val="0"/>
          <w:numId w:val="1002"/>
        </w:numPr>
        <w:pStyle w:val="Compact"/>
      </w:pPr>
      <w:r>
        <w:rPr>
          <w:bCs/>
          <w:b/>
        </w:rPr>
        <w:t xml:space="preserve">Regulatory Advisory Workshops:</w:t>
      </w:r>
      <w:r>
        <w:t xml:space="preserve"> </w:t>
      </w:r>
      <w:r>
        <w:t xml:space="preserve">Hosting 12 sector-specific seminars across Kuwait Kuwait City (including at the Central Bank of Kuwait premises) generated 73 qualified leads, converting to 28 new contracts</w:t>
      </w:r>
    </w:p>
    <w:bookmarkEnd w:id="23"/>
    <w:bookmarkStart w:id="24" w:name="challenges-and-mitigation-strategies"/>
    <w:p>
      <w:pPr>
        <w:pStyle w:val="Heading2"/>
      </w:pPr>
      <w:r>
        <w:t xml:space="preserve">Challenges and Mitigation Strategies</w:t>
      </w:r>
    </w:p>
    <w:p>
      <w:pPr>
        <w:pStyle w:val="FirstParagraph"/>
      </w:pPr>
      <w:r>
        <w:t xml:space="preserve">While results are strong, our Sales Report identifies critical challenges requiring immediate attention within the Kuwait Kuwait City market:</w:t>
      </w:r>
    </w:p>
    <w:p>
      <w:pPr>
        <w:pStyle w:val="BodyText"/>
      </w:pPr>
      <w:r>
        <w:rPr>
          <w:bCs/>
          <w:b/>
        </w:rPr>
        <w:t xml:space="preserve">Challenge 1: Talent Shortage for Specialized Legal Services</w:t>
      </w:r>
      <w:r>
        <w:br/>
      </w:r>
      <w:r>
        <w:t xml:space="preserve">The scarcity of Lawyers with GCC experience in high-complexity matters creates service delivery constraints. *Mitigation:* We've established a dedicated recruitment partnership with Kuwait University's Law College, targeting graduates specializing in commercial litigation—a solution directly responsive to Kuwait Kuwait City's evolving legal needs.</w:t>
      </w:r>
    </w:p>
    <w:p>
      <w:pPr>
        <w:pStyle w:val="BodyText"/>
      </w:pPr>
      <w:r>
        <w:rPr>
          <w:bCs/>
          <w:b/>
        </w:rPr>
        <w:t xml:space="preserve">Challenge 2: Client Budget Cycles</w:t>
      </w:r>
      <w:r>
        <w:br/>
      </w:r>
      <w:r>
        <w:t xml:space="preserve">Many businesses in Kuwait Kuwait City delay legal spending until fiscal year-end. *Mitigation:* We've developed a "Quarterly Legal Health Check" service package marketed during Q3 (prior to budgeting cycles), resulting in 30% of new clients signing contracts 4-6 months earlier than historical patterns.</w:t>
      </w:r>
    </w:p>
    <w:bookmarkEnd w:id="24"/>
    <w:bookmarkStart w:id="25" w:name="X3a41460cbd994813631d299e529ba0835caf692"/>
    <w:p>
      <w:pPr>
        <w:pStyle w:val="Heading2"/>
      </w:pPr>
      <w:r>
        <w:t xml:space="preserve">Strategic Recommendations for Kuwait Kuwait City Expansion</w:t>
      </w:r>
    </w:p>
    <w:p>
      <w:pPr>
        <w:pStyle w:val="FirstParagraph"/>
      </w:pPr>
      <w:r>
        <w:t xml:space="preserve">To capitalize on market opportunities identified in this Sales Report, we propose three immediate initiatives tailored to the Kuwait Kuwait City context:</w:t>
      </w:r>
    </w:p>
    <w:p>
      <w:pPr>
        <w:numPr>
          <w:ilvl w:val="0"/>
          <w:numId w:val="1003"/>
        </w:numPr>
        <w:pStyle w:val="Compact"/>
      </w:pPr>
      <w:r>
        <w:rPr>
          <w:bCs/>
          <w:b/>
        </w:rPr>
        <w:t xml:space="preserve">Establish a Dedicated Kuwait Kuwait City Legal Advisory Center:</w:t>
      </w:r>
      <w:r>
        <w:t xml:space="preserve"> </w:t>
      </w:r>
      <w:r>
        <w:t xml:space="preserve">Opening a satellite office in Central Business District with multilingual (Arabic/English/French) Lawyer support to address rapid response demands from businesses operating across the city. This aligns with our target of 12% market share growth by Q4 2025.</w:t>
      </w:r>
    </w:p>
    <w:p>
      <w:pPr>
        <w:numPr>
          <w:ilvl w:val="0"/>
          <w:numId w:val="1003"/>
        </w:numPr>
        <w:pStyle w:val="Compact"/>
      </w:pPr>
      <w:r>
        <w:rPr>
          <w:bCs/>
          <w:b/>
        </w:rPr>
        <w:t xml:space="preserve">Develop Sharia-Compliant Commercial Templates:</w:t>
      </w:r>
      <w:r>
        <w:t xml:space="preserve"> </w:t>
      </w:r>
      <w:r>
        <w:t xml:space="preserve">Partnering with Islamic Finance institutions in Kuwait Kuwait City to create standardized contract frameworks that reduce legal costs for businesses while ensuring full compliance with local jurisprudence. This addresses a critical pain point identified in 87% of client consultations.</w:t>
      </w:r>
    </w:p>
    <w:p>
      <w:pPr>
        <w:numPr>
          <w:ilvl w:val="0"/>
          <w:numId w:val="1003"/>
        </w:numPr>
        <w:pStyle w:val="Compact"/>
      </w:pPr>
      <w:r>
        <w:rPr>
          <w:bCs/>
          <w:b/>
        </w:rPr>
        <w:t xml:space="preserve">Leverage Digital Transformation:</w:t>
      </w:r>
      <w:r>
        <w:t xml:space="preserve"> </w:t>
      </w:r>
      <w:r>
        <w:t xml:space="preserve">Implementing AI-driven case management tools customized for Kuwaiti court procedures, allowing our Lawyer team to handle 25% more cases annually without increasing staff—directly responding to the city's accelerating commercial litigation volume (up 40% YoY in Kuwait Kuwait City courts).</w:t>
      </w:r>
    </w:p>
    <w:bookmarkEnd w:id="25"/>
    <w:bookmarkStart w:id="26" w:name="X3e8326a9fee2583935a2aef18c10ef6de6022c0"/>
    <w:p>
      <w:pPr>
        <w:pStyle w:val="Heading2"/>
      </w:pPr>
      <w:r>
        <w:t xml:space="preserve">Conclusion: The Future of Legal Services in Kuwait Kuwait City</w:t>
      </w:r>
    </w:p>
    <w:p>
      <w:pPr>
        <w:pStyle w:val="FirstParagraph"/>
      </w:pPr>
      <w:r>
        <w:t xml:space="preserve">This Sales Report unequivocally demonstrates that our Lawyer-focused approach has become the catalyst for unprecedented growth within the competitive landscape of Kuwait Kuwait City. By embedding ourselves within the city's commercial DNA—through precise market intelligence, specialized service development, and relationship-centric sales strategies—we have transformed from a standard legal provider to an indispensable strategic partner for businesses navigating Kuwait's evolving regulatory environment.</w:t>
      </w:r>
    </w:p>
    <w:p>
      <w:pPr>
        <w:pStyle w:val="BodyText"/>
      </w:pPr>
      <w:r>
        <w:t xml:space="preserve">The data confirms that success in this market demands more than generic legal expertise; it requires hyper-localized knowledge of Kuwait Kuwait City's judicial processes, business culture, and economic priorities. As we move forward, every initiative will be measured against our core objective: becoming the first-choice Lawyer for complex business challenges across all sectors operating within the capital city. With strategic implementation of these recommendations, our firm is poised to capture 20% market share in high-value commercial legal services within Kuwait Kuwait City by 2026—setting a new benchmark for legal sales excellence in the Gulf region.</w:t>
      </w:r>
    </w:p>
    <w:p>
      <w:pPr>
        <w:pStyle w:val="BodyText"/>
      </w:pPr>
      <w:r>
        <w:rPr>
          <w:iCs/>
          <w:i/>
        </w:rPr>
        <w:t xml:space="preserve">Prepared by: International Legal Solutions Division</w:t>
      </w:r>
      <w:r>
        <w:br/>
      </w:r>
      <w:r>
        <w:rPr>
          <w:iCs/>
          <w:i/>
        </w:rPr>
        <w:t xml:space="preserve">Date: October 26, 2023</w:t>
      </w:r>
      <w:r>
        <w:br/>
      </w:r>
      <w:r>
        <w:rPr>
          <w:iCs/>
          <w:i/>
        </w:rPr>
        <w:t xml:space="preserve">For Distribution: Leadership Team, Board of Directors, Strategic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Kuwait Kuwait City</dc:title>
  <dc:creator/>
  <dc:language>en</dc:language>
  <cp:keywords/>
  <dcterms:created xsi:type="dcterms:W3CDTF">2026-07-21T12:30:54Z</dcterms:created>
  <dcterms:modified xsi:type="dcterms:W3CDTF">2026-07-21T12:30:54Z</dcterms:modified>
</cp:coreProperties>
</file>

<file path=docProps/custom.xml><?xml version="1.0" encoding="utf-8"?>
<Properties xmlns="http://schemas.openxmlformats.org/officeDocument/2006/custom-properties" xmlns:vt="http://schemas.openxmlformats.org/officeDocument/2006/docPropsVTypes"/>
</file>