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ced24239363077fa1e3081d8093a021cc8052f2"/>
    <w:p>
      <w:pPr>
        <w:pStyle w:val="Heading1"/>
      </w:pPr>
      <w:r>
        <w:t xml:space="preserve">Comprehensive Sales Performance Report: Legal Services Market Analysis - Malaysia Kuala Lumpur</w:t>
      </w:r>
    </w:p>
    <w:bookmarkStart w:id="27" w:name="X2679b32ce9fc48086a9904f2f6d7d505105b853"/>
    <w:p>
      <w:pPr>
        <w:pStyle w:val="Heading2"/>
      </w:pPr>
      <w:r>
        <w:t xml:space="preserve">Prepared for: Executive Leadership, KL-Based Law Firm</w:t>
      </w:r>
    </w:p>
    <w:p>
      <w:pPr>
        <w:pStyle w:val="FirstParagraph"/>
      </w:pPr>
      <w:r>
        <w:t xml:space="preserve">Date: October 26, 2023</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Sales Report provides an in-depth analysis of the legal services market performance across Malaysia Kuala Lumpur for Q3 2023. As a premier law firm operating in the dynamic Malaysian legal landscape, our strategic focus on high-value client acquisition and retention has yielded significant growth. The report confirms that professional sales efforts led by experienced</w:t>
      </w:r>
      <w:r>
        <w:t xml:space="preserve"> </w:t>
      </w:r>
      <w:r>
        <w:rPr>
          <w:bCs/>
          <w:b/>
        </w:rPr>
        <w:t xml:space="preserve">Lawyer</w:t>
      </w:r>
      <w:r>
        <w:t xml:space="preserve"> </w:t>
      </w:r>
      <w:r>
        <w:t xml:space="preserve">teams are directly driving revenue expansion in Malaysia's capital city. With Kuala Lumpur serving as the nation's commercial epicenter, this Sales Report underscores how targeted legal service offerings align with regional business needs, generating a 17% year-over-year increase in billable hours and securing six major corporate contracts.</w:t>
      </w:r>
    </w:p>
    <w:bookmarkEnd w:id="20"/>
    <w:bookmarkStart w:id="21" w:name="X05e76cc6bec9aca49eef2e1fb1d883f73167996"/>
    <w:p>
      <w:pPr>
        <w:pStyle w:val="Heading3"/>
      </w:pPr>
      <w:r>
        <w:t xml:space="preserve">Market Context: Legal Services in Malaysia Kuala Lumpur</w:t>
      </w:r>
    </w:p>
    <w:p>
      <w:pPr>
        <w:pStyle w:val="FirstParagraph"/>
      </w:pPr>
      <w:r>
        <w:t xml:space="preserve">Kuala Lumpur continues to dominate Malaysia's legal sector as the hub for multinational corporations, government agencies, and high-net-worth individuals. The city hosts over 85% of the country's law firms and handles 92% of complex commercial litigation cases (Malaysian Bar Council, Q2 2023). This Sales Report identifies three critical market shifts impacting our</w:t>
      </w:r>
      <w:r>
        <w:t xml:space="preserve"> </w:t>
      </w:r>
      <w:r>
        <w:rPr>
          <w:bCs/>
          <w:b/>
        </w:rPr>
        <w:t xml:space="preserve">Lawyer</w:t>
      </w:r>
      <w:r>
        <w:t xml:space="preserve"> </w:t>
      </w:r>
      <w:r>
        <w:t xml:space="preserve">practice:</w:t>
      </w:r>
    </w:p>
    <w:p>
      <w:pPr>
        <w:numPr>
          <w:ilvl w:val="0"/>
          <w:numId w:val="1001"/>
        </w:numPr>
        <w:pStyle w:val="Compact"/>
      </w:pPr>
      <w:r>
        <w:rPr>
          <w:bCs/>
          <w:b/>
        </w:rPr>
        <w:t xml:space="preserve">Post-Pandemic Commercial Surge:</w:t>
      </w:r>
      <w:r>
        <w:t xml:space="preserve"> </w:t>
      </w:r>
      <w:r>
        <w:t xml:space="preserve">KL's economy rebounded strongly with a 6.8% GDP growth (Department of Statistics Malaysia), driving demand for corporate, M&amp;A, and IP legal services.</w:t>
      </w:r>
    </w:p>
    <w:p>
      <w:pPr>
        <w:numPr>
          <w:ilvl w:val="0"/>
          <w:numId w:val="1001"/>
        </w:numPr>
        <w:pStyle w:val="Compact"/>
      </w:pPr>
      <w:r>
        <w:rPr>
          <w:bCs/>
          <w:b/>
        </w:rPr>
        <w:t xml:space="preserve">Digital Transformation:</w:t>
      </w:r>
      <w:r>
        <w:t xml:space="preserve"> </w:t>
      </w:r>
      <w:r>
        <w:t xml:space="preserve">74% of KL businesses now prioritize tech-enabled legal solutions (KPMG Malaysia Survey), requiring our</w:t>
      </w:r>
      <w:r>
        <w:t xml:space="preserve"> </w:t>
      </w:r>
      <w:r>
        <w:rPr>
          <w:bCs/>
          <w:b/>
        </w:rPr>
        <w:t xml:space="preserve">Lawyer</w:t>
      </w:r>
      <w:r>
        <w:t xml:space="preserve"> </w:t>
      </w:r>
      <w:r>
        <w:t xml:space="preserve">teams to integrate AI tools into sales pitches.</w:t>
      </w:r>
    </w:p>
    <w:p>
      <w:pPr>
        <w:numPr>
          <w:ilvl w:val="0"/>
          <w:numId w:val="1001"/>
        </w:numPr>
        <w:pStyle w:val="Compact"/>
      </w:pPr>
      <w:r>
        <w:rPr>
          <w:bCs/>
          <w:b/>
        </w:rPr>
        <w:t xml:space="preserve">Economic Diversification:</w:t>
      </w:r>
      <w:r>
        <w:t xml:space="preserve"> </w:t>
      </w:r>
      <w:r>
        <w:t xml:space="preserve">Growth in renewable energy, fintech, and digital entertainment sectors has created specialized legal service opportunities unique to Malaysia Kuala Lumpur.</w:t>
      </w:r>
    </w:p>
    <w:bookmarkEnd w:id="21"/>
    <w:bookmarkStart w:id="22" w:name="sales-performance-analysis-q3-2023"/>
    <w:p>
      <w:pPr>
        <w:pStyle w:val="Heading3"/>
      </w:pPr>
      <w:r>
        <w:t xml:space="preserve">Sales Performance Analysis (Q3 2023)</w:t>
      </w:r>
    </w:p>
    <w:p>
      <w:pPr>
        <w:pStyle w:val="FirstParagraph"/>
      </w:pPr>
      <w:r>
        <w:t xml:space="preserve">This Sales Report breaks down revenue streams with geographic specificity for Malaysia Kuala Lumpur:</w:t>
      </w:r>
    </w:p>
    <w:p>
      <w:pPr>
        <w:pStyle w:val="BodyText"/>
      </w:pPr>
      <w:r>
        <w:t xml:space="preserve">Service Category</w:t>
      </w:r>
    </w:p>
    <w:p>
      <w:pPr>
        <w:pStyle w:val="BodyText"/>
      </w:pPr>
      <w:r>
        <w:t xml:space="preserve">Q2 2023 Revenue (RM)</w:t>
      </w:r>
    </w:p>
    <w:p>
      <w:pPr>
        <w:pStyle w:val="BodyText"/>
      </w:pPr>
      <w:r>
        <w:t xml:space="preserve">Q3 2023 Revenue (RM)</w:t>
      </w:r>
    </w:p>
    <w:p>
      <w:pPr>
        <w:pStyle w:val="BodyText"/>
      </w:pPr>
      <w:r>
        <w:t xml:space="preserve">% Change</w:t>
      </w:r>
    </w:p>
    <w:p>
      <w:pPr>
        <w:pStyle w:val="BodyText"/>
      </w:pPr>
      <w:r>
        <w:t xml:space="preserve">KL Market Share Gain</w:t>
      </w:r>
    </w:p>
    <w:p>
      <w:pPr>
        <w:pStyle w:val="BodyText"/>
      </w:pPr>
      <w:r>
        <w:t xml:space="preserve">Corporate M&amp;A</w:t>
      </w:r>
    </w:p>
    <w:p>
      <w:pPr>
        <w:pStyle w:val="BodyText"/>
      </w:pPr>
      <w:r>
        <w:t xml:space="preserve">1,850,000</w:t>
      </w:r>
    </w:p>
    <w:p>
      <w:pPr>
        <w:pStyle w:val="BodyText"/>
      </w:pPr>
      <w:r>
        <w:t xml:space="preserve">2,485,000</w:t>
      </w:r>
    </w:p>
    <w:p>
      <w:pPr>
        <w:pStyle w:val="BodyText"/>
      </w:pPr>
      <w:r>
        <w:t xml:space="preserve">+34.3%</w:t>
      </w:r>
    </w:p>
    <w:p>
      <w:pPr>
        <w:pStyle w:val="BodyText"/>
      </w:pPr>
      <w:r>
        <w:t xml:space="preserve">+9.2%</w:t>
      </w:r>
    </w:p>
    <w:p>
      <w:pPr>
        <w:pStyle w:val="BodyText"/>
      </w:pPr>
      <w:r>
        <w:t xml:space="preserve">Cross-Border Disputes</w:t>
      </w:r>
    </w:p>
    <w:p>
      <w:pPr>
        <w:pStyle w:val="BodyText"/>
      </w:pPr>
      <w:r>
        <w:t xml:space="preserve">1,275,000</w:t>
      </w:r>
    </w:p>
    <w:p>
      <w:pPr>
        <w:pStyle w:val="BodyText"/>
      </w:pPr>
      <w:r>
        <w:t xml:space="preserve">1,698,500</w:t>
      </w:r>
    </w:p>
    <w:p>
      <w:pPr>
        <w:pStyle w:val="BodyText"/>
      </w:pPr>
      <w:r>
        <w:t xml:space="preserve">+33.2%</w:t>
      </w:r>
    </w:p>
    <w:p>
      <w:pPr>
        <w:pStyle w:val="BodyText"/>
      </w:pPr>
      <w:r>
        <w:t xml:space="preserve">+8.7%</w:t>
      </w:r>
    </w:p>
    <w:p>
      <w:pPr>
        <w:pStyle w:val="BodyText"/>
      </w:pPr>
      <w:r>
        <w:t xml:space="preserve">Intellectual Property</w:t>
      </w:r>
    </w:p>
    <w:p>
      <w:pPr>
        <w:pStyle w:val="BodyText"/>
      </w:pPr>
      <w:r>
        <w:t xml:space="preserve">945,000</w:t>
      </w:r>
    </w:p>
    <w:p>
      <w:pPr>
        <w:pStyle w:val="BodyText"/>
      </w:pPr>
      <w:r>
        <w:t xml:space="preserve">1,267,300</w:t>
      </w:r>
    </w:p>
    <w:p>
      <w:pPr>
        <w:pStyle w:val="BodyText"/>
      </w:pPr>
      <w:r>
        <w:t xml:space="preserve">+34.1%</w:t>
      </w:r>
    </w:p>
    <w:p>
      <w:pPr>
        <w:pStyle w:val="BodyText"/>
      </w:pPr>
      <w:r>
        <w:t xml:space="preserve">+7.5%</w:t>
      </w:r>
    </w:p>
    <w:p>
      <w:pPr>
        <w:pStyle w:val="BodyText"/>
      </w:pPr>
      <w:r>
        <w:t xml:space="preserve">Total KL Revenue</w:t>
      </w:r>
    </w:p>
    <w:p>
      <w:pPr>
        <w:pStyle w:val="BodyText"/>
      </w:pPr>
      <w:r>
        <w:t xml:space="preserve">4,070,000</w:t>
      </w:r>
    </w:p>
    <w:p>
      <w:pPr>
        <w:pStyle w:val="BodyText"/>
      </w:pPr>
      <w:r>
        <w:t xml:space="preserve">5,450,800</w:t>
      </w:r>
    </w:p>
    <w:p>
      <w:pPr>
        <w:pStyle w:val="BodyText"/>
      </w:pPr>
      <w:r>
        <w:t xml:space="preserve">+33.9%</w:t>
      </w:r>
    </w:p>
    <w:p>
      <w:pPr>
        <w:pStyle w:val="BodyText"/>
      </w:pPr>
      <w:r>
        <w:t xml:space="preserve">+8.5%</w:t>
      </w:r>
    </w:p>
    <w:p>
      <w:pPr>
        <w:pStyle w:val="BodyText"/>
      </w:pPr>
      <w:r>
        <w:t xml:space="preserve">The data confirms that strategic client acquisition in</w:t>
      </w:r>
      <w:r>
        <w:t xml:space="preserve"> </w:t>
      </w:r>
      <w:r>
        <w:rPr>
          <w:bCs/>
          <w:b/>
        </w:rPr>
        <w:t xml:space="preserve">Malaysia Kuala Lumpur</w:t>
      </w:r>
      <w:r>
        <w:t xml:space="preserve"> </w:t>
      </w:r>
      <w:r>
        <w:t xml:space="preserve">is outperforming national averages by 14%. Notably, our team of specialized</w:t>
      </w:r>
      <w:r>
        <w:t xml:space="preserve"> </w:t>
      </w:r>
      <w:r>
        <w:rPr>
          <w:bCs/>
          <w:b/>
        </w:rPr>
        <w:t xml:space="preserve">Lawyer</w:t>
      </w:r>
      <w:r>
        <w:t xml:space="preserve">s secured four major contracts with ASEAN-based tech firms—three within KL's Tun Razak Exchange (TRX) financial district. This growth stems from our</w:t>
      </w:r>
      <w:r>
        <w:t xml:space="preserve"> </w:t>
      </w:r>
      <w:r>
        <w:rPr>
          <w:iCs/>
          <w:i/>
        </w:rPr>
        <w:t xml:space="preserve">"KL Legal Navigator"</w:t>
      </w:r>
      <w:r>
        <w:t xml:space="preserve"> </w:t>
      </w:r>
      <w:r>
        <w:t xml:space="preserve">sales framework, which integrates local market intelligence with client-specific compliance needs.</w:t>
      </w:r>
    </w:p>
    <w:bookmarkEnd w:id="22"/>
    <w:bookmarkStart w:id="23" w:name="key-sales-achievements-by-lawyer-team"/>
    <w:p>
      <w:pPr>
        <w:pStyle w:val="Heading3"/>
      </w:pPr>
      <w:r>
        <w:t xml:space="preserve">Key Sales Achievements by Lawyer Team</w:t>
      </w:r>
    </w:p>
    <w:p>
      <w:pPr>
        <w:pStyle w:val="FirstParagraph"/>
      </w:pPr>
      <w:r>
        <w:t xml:space="preserve">This Sales Report highlights three pivotal wins directly attributable to proactive</w:t>
      </w:r>
      <w:r>
        <w:t xml:space="preserve"> </w:t>
      </w:r>
      <w:r>
        <w:rPr>
          <w:bCs/>
          <w:b/>
        </w:rPr>
        <w:t xml:space="preserve">Lawyer</w:t>
      </w:r>
      <w:r>
        <w:t xml:space="preserve"> </w:t>
      </w:r>
      <w:r>
        <w:t xml:space="preserve">engagement in Malaysia Kuala Lumpur:</w:t>
      </w:r>
    </w:p>
    <w:p>
      <w:pPr>
        <w:numPr>
          <w:ilvl w:val="0"/>
          <w:numId w:val="1002"/>
        </w:numPr>
        <w:pStyle w:val="Compact"/>
      </w:pPr>
      <w:r>
        <w:rPr>
          <w:bCs/>
          <w:b/>
        </w:rPr>
        <w:t xml:space="preserve">Multinational Energy Consortium (Q3-2023):</w:t>
      </w:r>
      <w:r>
        <w:t xml:space="preserve"> </w:t>
      </w:r>
      <w:r>
        <w:t xml:space="preserve">Our KL-based corporate team secured a RM18.5M contract for renewable energy project compliance, outperforming Singaporean competitors through deep understanding of Malaysian Environmental Quality Act amendments.</w:t>
      </w:r>
    </w:p>
    <w:p>
      <w:pPr>
        <w:numPr>
          <w:ilvl w:val="0"/>
          <w:numId w:val="1002"/>
        </w:numPr>
        <w:pStyle w:val="Compact"/>
      </w:pPr>
      <w:r>
        <w:rPr>
          <w:bCs/>
          <w:b/>
        </w:rPr>
        <w:t xml:space="preserve">Fintech Regulatory Advisory Package:</w:t>
      </w:r>
      <w:r>
        <w:t xml:space="preserve"> </w:t>
      </w:r>
      <w:r>
        <w:t xml:space="preserve">Leveraging our</w:t>
      </w:r>
      <w:r>
        <w:t xml:space="preserve"> </w:t>
      </w:r>
      <w:r>
        <w:rPr>
          <w:iCs/>
          <w:i/>
        </w:rPr>
        <w:t xml:space="preserve">Kuala Lumpur Financial Hub Knowledge Base</w:t>
      </w:r>
      <w:r>
        <w:t xml:space="preserve">, the team closed a 12-month engagement with a Malaysian fintech unicorn, addressing Central Bank Malaysia's (BNM) new digital licensing framework—directly translating regulatory expertise into sales.</w:t>
      </w:r>
    </w:p>
    <w:p>
      <w:pPr>
        <w:numPr>
          <w:ilvl w:val="0"/>
          <w:numId w:val="1002"/>
        </w:numPr>
        <w:pStyle w:val="Compact"/>
      </w:pPr>
      <w:r>
        <w:rPr>
          <w:bCs/>
          <w:b/>
        </w:rPr>
        <w:t xml:space="preserve">Dispute Resolution Partnership with KL Chamber of Commerce:</w:t>
      </w:r>
      <w:r>
        <w:t xml:space="preserve"> </w:t>
      </w:r>
      <w:r>
        <w:t xml:space="preserve">The firm’s</w:t>
      </w:r>
      <w:r>
        <w:t xml:space="preserve"> </w:t>
      </w:r>
      <w:r>
        <w:rPr>
          <w:bCs/>
          <w:b/>
        </w:rPr>
        <w:t xml:space="preserve">Lawyer</w:t>
      </w:r>
      <w:r>
        <w:t xml:space="preserve">s established a referral partnership securing 17 new commercial cases, demonstrating how local institutional relationships drive consistent sales pipelines in Malaysia Kuala Lumpur.</w:t>
      </w:r>
    </w:p>
    <w:bookmarkEnd w:id="23"/>
    <w:bookmarkStart w:id="24" w:name="challenges-and-strategic-response"/>
    <w:p>
      <w:pPr>
        <w:pStyle w:val="Heading3"/>
      </w:pPr>
      <w:r>
        <w:t xml:space="preserve">Challenges and Strategic Response</w:t>
      </w:r>
    </w:p>
    <w:p>
      <w:pPr>
        <w:pStyle w:val="FirstParagraph"/>
      </w:pPr>
      <w:r>
        <w:t xml:space="preserve">This Sales Report identifies two critical challenges requiring immediate action in the Malaysia Kuala Lumpur market:</w:t>
      </w:r>
    </w:p>
    <w:p>
      <w:pPr>
        <w:numPr>
          <w:ilvl w:val="0"/>
          <w:numId w:val="1003"/>
        </w:numPr>
        <w:pStyle w:val="Compact"/>
      </w:pPr>
      <w:r>
        <w:rPr>
          <w:bCs/>
          <w:b/>
        </w:rPr>
        <w:t xml:space="preserve">Competitive Pressure from International Firms:</w:t>
      </w:r>
      <w:r>
        <w:t xml:space="preserve"> </w:t>
      </w:r>
      <w:r>
        <w:t xml:space="preserve">Global law firms have increased marketing spend by 22% in KL (Law Society Malaysia, Q3). Our response: Implementing tiered service packages (Basic/Pro/Elite) with fixed-fee models for routine corporate work to undercut competitors' hourly rates while maintaining profit margins.</w:t>
      </w:r>
    </w:p>
    <w:p>
      <w:pPr>
        <w:numPr>
          <w:ilvl w:val="0"/>
          <w:numId w:val="1003"/>
        </w:numPr>
        <w:pStyle w:val="Compact"/>
      </w:pPr>
      <w:r>
        <w:rPr>
          <w:bCs/>
          <w:b/>
        </w:rPr>
        <w:t xml:space="preserve">Client Expectations Gap:</w:t>
      </w:r>
      <w:r>
        <w:t xml:space="preserve"> </w:t>
      </w:r>
      <w:r>
        <w:t xml:space="preserve">63% of KL clients now demand real-time case updates (PwC Malaysia Legal Tech Survey). Our solution: Training all</w:t>
      </w:r>
      <w:r>
        <w:t xml:space="preserve"> </w:t>
      </w:r>
      <w:r>
        <w:rPr>
          <w:bCs/>
          <w:b/>
        </w:rPr>
        <w:t xml:space="preserve">Lawyer</w:t>
      </w:r>
      <w:r>
        <w:t xml:space="preserve">s in our new "Kuala Lumpur Client Engagement Portal" (KEP), which integrates with our CRM to deliver live matter status via WhatsApp—reducing client inquiries by 41% and increasing satisfaction scores.</w:t>
      </w:r>
    </w:p>
    <w:bookmarkEnd w:id="24"/>
    <w:bookmarkStart w:id="25" w:name="X993bde9bfe9423f0ae45df5281e44f810fceecd"/>
    <w:p>
      <w:pPr>
        <w:pStyle w:val="Heading3"/>
      </w:pPr>
      <w:r>
        <w:t xml:space="preserve">Strategic Recommendations for Malaysia Kuala Lumpur Sales Growth</w:t>
      </w:r>
    </w:p>
    <w:p>
      <w:pPr>
        <w:pStyle w:val="FirstParagraph"/>
      </w:pPr>
      <w:r>
        <w:t xml:space="preserve">Based on this Sales Report, we recommend:</w:t>
      </w:r>
    </w:p>
    <w:p>
      <w:pPr>
        <w:numPr>
          <w:ilvl w:val="0"/>
          <w:numId w:val="1004"/>
        </w:numPr>
        <w:pStyle w:val="Compact"/>
      </w:pPr>
      <w:r>
        <w:rPr>
          <w:bCs/>
          <w:b/>
        </w:rPr>
        <w:t xml:space="preserve">Expand KL Presence in New Sectors:</w:t>
      </w:r>
      <w:r>
        <w:t xml:space="preserve"> </w:t>
      </w:r>
      <w:r>
        <w:t xml:space="preserve">Target Malaysia's growing digital entertainment market (e.g., e-gaming licenses) with a dedicated "KL Creative Industries" legal service line. Budget: RM350,000 for industry-specific training.</w:t>
      </w:r>
    </w:p>
    <w:p>
      <w:pPr>
        <w:numPr>
          <w:ilvl w:val="0"/>
          <w:numId w:val="1004"/>
        </w:numPr>
        <w:pStyle w:val="Compact"/>
      </w:pPr>
      <w:r>
        <w:rPr>
          <w:bCs/>
          <w:b/>
        </w:rPr>
        <w:t xml:space="preserve">Strengthen Local Partnerships:</w:t>
      </w:r>
      <w:r>
        <w:t xml:space="preserve"> </w:t>
      </w:r>
      <w:r>
        <w:t xml:space="preserve">Forge alliances with KL-based business associations (e.g., MDEC, SME Corp) to co-host quarterly "Regulatory Roundtables." This directly aligns with how</w:t>
      </w:r>
      <w:r>
        <w:t xml:space="preserve"> </w:t>
      </w:r>
      <w:r>
        <w:rPr>
          <w:bCs/>
          <w:b/>
        </w:rPr>
        <w:t xml:space="preserve">Lawyer</w:t>
      </w:r>
      <w:r>
        <w:t xml:space="preserve">s build trust in Malaysia Kuala Lumpur's ecosystem.</w:t>
      </w:r>
    </w:p>
    <w:p>
      <w:pPr>
        <w:numPr>
          <w:ilvl w:val="0"/>
          <w:numId w:val="1004"/>
        </w:numPr>
        <w:pStyle w:val="Compact"/>
      </w:pPr>
      <w:r>
        <w:rPr>
          <w:bCs/>
          <w:b/>
        </w:rPr>
        <w:t xml:space="preserve">Implement AI-Powered Sales Analytics:</w:t>
      </w:r>
      <w:r>
        <w:t xml:space="preserve"> </w:t>
      </w:r>
      <w:r>
        <w:t xml:space="preserve">Deploy machine learning to predict KL market demand spikes (e.g., pre-election regulatory changes). Projected ROI: 28% faster lead conversion within 6 months.</w:t>
      </w:r>
    </w:p>
    <w:bookmarkEnd w:id="25"/>
    <w:bookmarkStart w:id="26" w:name="conclusion"/>
    <w:p>
      <w:pPr>
        <w:pStyle w:val="Heading3"/>
      </w:pPr>
      <w:r>
        <w:t xml:space="preserve">Conclusion</w:t>
      </w:r>
    </w:p>
    <w:p>
      <w:pPr>
        <w:pStyle w:val="FirstParagraph"/>
      </w:pPr>
      <w:r>
        <w:t xml:space="preserve">This Sales Report unequivocally demonstrates that the success of our legal practice in Malaysia Kuala Lumpur hinges on how effectively our</w:t>
      </w:r>
      <w:r>
        <w:t xml:space="preserve"> </w:t>
      </w:r>
      <w:r>
        <w:rPr>
          <w:bCs/>
          <w:b/>
        </w:rPr>
        <w:t xml:space="preserve">Lawyer</w:t>
      </w:r>
      <w:r>
        <w:t xml:space="preserve"> </w:t>
      </w:r>
      <w:r>
        <w:t xml:space="preserve">teams translate market intelligence into sales outcomes. The city's unique economic ecosystem—where Sharia-compliant finance intersects with global tech innovation—demands specialized sales strategies that this report has validated through concrete data. With a 33.9% revenue surge in Q3, we have proven that focused, locally attuned legal services drive sustainable growth in Malaysia's premier business center. As the largest law firm headquartered in Kuala Lumpur serving multinational clients, our continued investment in KL-specific sales infrastructure will cement our leadership position across Southeast Asia's most dynamic legal market.</w:t>
      </w:r>
    </w:p>
    <w:p>
      <w:pPr>
        <w:pStyle w:val="BodyText"/>
      </w:pPr>
      <w:r>
        <w:rPr>
          <w:bCs/>
          <w:b/>
        </w:rPr>
        <w:t xml:space="preserve">Prepared by:</w:t>
      </w:r>
      <w:r>
        <w:t xml:space="preserve"> </w:t>
      </w:r>
      <w:r>
        <w:t xml:space="preserve">Strategic Sales Intelligence Unit | Malaysia Kuala Lumpur Legal Market Division</w:t>
      </w:r>
    </w:p>
    <w:p>
      <w:pPr>
        <w:pStyle w:val="BodyText"/>
      </w:pPr>
      <w:r>
        <w:rPr>
          <w:bCs/>
          <w:b/>
        </w:rPr>
        <w:t xml:space="preserve">Word Count:</w:t>
      </w:r>
      <w:r>
        <w:t xml:space="preserve"> </w:t>
      </w:r>
      <w:r>
        <w:t xml:space="preserve">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Malaysia Kuala Lumpur</dc:title>
  <dc:creator/>
  <dc:language>en</dc:language>
  <cp:keywords/>
  <dcterms:created xsi:type="dcterms:W3CDTF">2026-07-24T09:59:11Z</dcterms:created>
  <dcterms:modified xsi:type="dcterms:W3CDTF">2026-07-24T09:59:11Z</dcterms:modified>
</cp:coreProperties>
</file>

<file path=docProps/custom.xml><?xml version="1.0" encoding="utf-8"?>
<Properties xmlns="http://schemas.openxmlformats.org/officeDocument/2006/custom-properties" xmlns:vt="http://schemas.openxmlformats.org/officeDocument/2006/docPropsVTypes"/>
</file>