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Services</w:t>
      </w:r>
      <w:r>
        <w:t xml:space="preserve"> </w:t>
      </w:r>
      <w:r>
        <w:t xml:space="preserve">Sales</w:t>
      </w:r>
      <w:r>
        <w:t xml:space="preserve"> </w:t>
      </w:r>
      <w:r>
        <w:t xml:space="preserve">Report:</w:t>
      </w:r>
      <w:r>
        <w:t xml:space="preserve"> </w:t>
      </w:r>
      <w:r>
        <w:t xml:space="preserve">Mexico</w:t>
      </w:r>
      <w:r>
        <w:t xml:space="preserve"> </w:t>
      </w:r>
      <w:r>
        <w:t xml:space="preserve">City</w:t>
      </w:r>
      <w:r>
        <w:t xml:space="preserve"> </w:t>
      </w:r>
      <w:r>
        <w:t xml:space="preserve">Legal</w:t>
      </w:r>
      <w:r>
        <w:t xml:space="preserve"> </w:t>
      </w:r>
      <w:r>
        <w:t xml:space="preserve">Practice</w:t>
      </w:r>
    </w:p>
    <w:bookmarkStart w:id="28" w:name="X67eb04b07ece37e4003a8954d89a5a4a3d2a028"/>
    <w:p>
      <w:pPr>
        <w:pStyle w:val="Heading1"/>
      </w:pPr>
      <w:r>
        <w:t xml:space="preserve">Sales Report: Strategic Business Development Performance of [Law Firm Name] in Mexico City</w:t>
      </w:r>
    </w:p>
    <w:bookmarkStart w:id="20" w:name="executive-summary"/>
    <w:p>
      <w:pPr>
        <w:pStyle w:val="Heading2"/>
      </w:pPr>
      <w:r>
        <w:t xml:space="preserve">Executive Summary</w:t>
      </w:r>
    </w:p>
    <w:p>
      <w:pPr>
        <w:pStyle w:val="FirstParagraph"/>
      </w:pPr>
      <w:r>
        <w:t xml:space="preserve">This comprehensive Sales Report details the business development performance and client acquisition metrics for [Law Firm Name], a premier legal practice specializing in corporate, commercial, and intellectual property law within Mexico City. As the economic capital of Mexico and home to over 21 million residents, Mexico City presents a dynamic yet highly competitive legal market where strategic positioning is paramount. This report quantifies our firm's growth trajectory across key practice areas from Q1 2023 to Q3 2024, emphasizing how our</w:t>
      </w:r>
      <w:r>
        <w:t xml:space="preserve"> </w:t>
      </w:r>
      <w:r>
        <w:rPr>
          <w:bCs/>
          <w:b/>
        </w:rPr>
        <w:t xml:space="preserve">Lawyer</w:t>
      </w:r>
      <w:r>
        <w:t xml:space="preserve"> </w:t>
      </w:r>
      <w:r>
        <w:t xml:space="preserve">team's expertise aligns with Mexico City’s unique commercial demands. All metrics reflect ethical engagement practices compliant with the Mexican Bar Association (Colegio de Abogados de México) and COFEPRIS regulations, ensuring zero compromise on legal ethics while driving sustainable growth.</w:t>
      </w:r>
    </w:p>
    <w:bookmarkEnd w:id="20"/>
    <w:bookmarkStart w:id="21" w:name="Xf4cdfe7c79738fa347b0320248ece378cbcf3dc"/>
    <w:p>
      <w:pPr>
        <w:pStyle w:val="Heading2"/>
      </w:pPr>
      <w:r>
        <w:t xml:space="preserve">Market Context: Mexico City Legal Landscape</w:t>
      </w:r>
    </w:p>
    <w:p>
      <w:pPr>
        <w:pStyle w:val="FirstParagraph"/>
      </w:pPr>
      <w:r>
        <w:t xml:space="preserve">Mexico City remains the undisputed epicenter of Mexico's legal and financial activity, housing 78% of the country’s multinational corporate headquarters (Banco de México, 2023). The demand for specialized legal services here is driven by complex regulatory frameworks—including the new Digital Economy Law (Ley de la Economía Digital), commercial arbitration norms under the ICSID Convention, and evolving labor legislation. This environment necessitates that every</w:t>
      </w:r>
      <w:r>
        <w:t xml:space="preserve"> </w:t>
      </w:r>
      <w:r>
        <w:rPr>
          <w:bCs/>
          <w:b/>
        </w:rPr>
        <w:t xml:space="preserve">Lawyer</w:t>
      </w:r>
      <w:r>
        <w:t xml:space="preserve"> </w:t>
      </w:r>
      <w:r>
        <w:t xml:space="preserve">at [Law Firm Name] possesses granular knowledge of Mexico City's municipal ordinances, Federal District court procedures, and cultural nuances in client negotiations. Our Sales Report confirms a 42% year-over-year increase in high-value corporate mandates originating from Mexico City-based entities, directly correlating with the city’s status as Latin America’s third-largest venture capital hub.</w:t>
      </w:r>
    </w:p>
    <w:bookmarkEnd w:id="21"/>
    <w:bookmarkStart w:id="22" w:name="Xa614b112b37c11ad1f3aceaad0966f72cca9798"/>
    <w:p>
      <w:pPr>
        <w:pStyle w:val="Heading2"/>
      </w:pPr>
      <w:r>
        <w:t xml:space="preserve">Key Performance Indicators (Q1 2023 – Q3 2024)</w:t>
      </w:r>
    </w:p>
    <w:p>
      <w:pPr>
        <w:pStyle w:val="FirstParagraph"/>
      </w:pPr>
      <w:r>
        <w:t xml:space="preserve">Metrics</w:t>
      </w:r>
    </w:p>
    <w:p>
      <w:pPr>
        <w:pStyle w:val="BodyText"/>
      </w:pPr>
      <w:r>
        <w:t xml:space="preserve">Q1-Q3 2023</w:t>
      </w:r>
    </w:p>
    <w:p>
      <w:pPr>
        <w:pStyle w:val="BodyText"/>
      </w:pPr>
      <w:r>
        <w:t xml:space="preserve">Q1-Q3 2024</w:t>
      </w:r>
    </w:p>
    <w:p>
      <w:pPr>
        <w:pStyle w:val="BodyText"/>
      </w:pPr>
      <w:r>
        <w:t xml:space="preserve">% Change</w:t>
      </w:r>
    </w:p>
    <w:p>
      <w:pPr>
        <w:pStyle w:val="BodyText"/>
      </w:pPr>
      <w:r>
        <w:t xml:space="preserve">New Client Acquisition (Mexico City)</w:t>
      </w:r>
    </w:p>
    <w:p>
      <w:pPr>
        <w:pStyle w:val="BodyText"/>
      </w:pPr>
      <w:r>
        <w:t xml:space="preserve">87</w:t>
      </w:r>
    </w:p>
    <w:p>
      <w:pPr>
        <w:pStyle w:val="BodyText"/>
      </w:pPr>
      <w:r>
        <w:t xml:space="preserve">142</w:t>
      </w:r>
    </w:p>
    <w:p>
      <w:pPr>
        <w:pStyle w:val="BodyText"/>
      </w:pPr>
      <w:r>
        <w:t xml:space="preserve">+63.2%</w:t>
      </w:r>
    </w:p>
    <w:p>
      <w:pPr>
        <w:pStyle w:val="BodyText"/>
      </w:pPr>
      <w:r>
        <w:t xml:space="preserve">Avg. Contract Value (MXN)</w:t>
      </w:r>
    </w:p>
    <w:p>
      <w:pPr>
        <w:pStyle w:val="BodyText"/>
      </w:pPr>
      <w:r>
        <w:t xml:space="preserve">985,000</w:t>
      </w:r>
    </w:p>
    <w:p>
      <w:pPr>
        <w:pStyle w:val="BodyText"/>
      </w:pPr>
      <w:r>
        <w:t xml:space="preserve">&lt;</w:t>
      </w:r>
    </w:p>
    <w:p>
      <w:pPr>
        <w:pStyle w:val="BodyText"/>
      </w:pPr>
      <w:r>
        <w:t xml:space="preserve">1,345,000</w:t>
      </w:r>
    </w:p>
    <w:p>
      <w:pPr>
        <w:pStyle w:val="BodyText"/>
      </w:pPr>
      <w:r>
        <w:t xml:space="preserve">+36.6%</w:t>
      </w:r>
    </w:p>
    <w:p>
      <w:pPr>
        <w:pStyle w:val="BodyText"/>
      </w:pPr>
      <w:r>
        <w:t xml:space="preserve">74%</w:t>
      </w:r>
    </w:p>
    <w:p>
      <w:pPr>
        <w:pStyle w:val="BodyText"/>
      </w:pPr>
      <w:r>
        <w:t xml:space="preserve">Mexico City Market Share Growth</w:t>
      </w:r>
    </w:p>
    <w:p>
      <w:pPr>
        <w:pStyle w:val="BodyText"/>
      </w:pPr>
      <w:r>
        <w:t xml:space="preserve">+18.7%</w:t>
      </w:r>
    </w:p>
    <w:p>
      <w:pPr>
        <w:pStyle w:val="BodyText"/>
      </w:pPr>
      <w:r>
        <w:t xml:space="preserve">Notably, our Mexico City practice achieved 39% of all firm revenue through high-margin intellectual property and cross-border transactional work—a segment where local</w:t>
      </w:r>
      <w:r>
        <w:t xml:space="preserve"> </w:t>
      </w:r>
      <w:r>
        <w:rPr>
          <w:bCs/>
          <w:b/>
        </w:rPr>
        <w:t xml:space="preserve">Lawyer</w:t>
      </w:r>
      <w:r>
        <w:t xml:space="preserve"> </w:t>
      </w:r>
      <w:r>
        <w:t xml:space="preserve">expertise is non-negotiable. For instance, a recent $2.8M tech IP portfolio acquisition for a Silicon Valley client required navigating Mexico City’s INPI (National Institute of Industrial Property) filing protocols within 72 hours to avoid regulatory penalties. This case exemplifies how our</w:t>
      </w:r>
      <w:r>
        <w:t xml:space="preserve"> </w:t>
      </w:r>
      <w:r>
        <w:rPr>
          <w:bCs/>
          <w:b/>
        </w:rPr>
        <w:t xml:space="preserve">Lawyer</w:t>
      </w:r>
      <w:r>
        <w:t xml:space="preserve"> </w:t>
      </w:r>
      <w:r>
        <w:t xml:space="preserve">team’s deep familiarity with Mexico City's administrative processes directly converts into revenue, as evidenced by the 31% increase in repeat client engagements from multinational firms headquartered in Polanco and Santa Fe.</w:t>
      </w:r>
    </w:p>
    <w:bookmarkEnd w:id="22"/>
    <w:bookmarkStart w:id="23" w:name="X4559c4dc064888a2cb3e11fc760f17e8d9ec2cf"/>
    <w:p>
      <w:pPr>
        <w:pStyle w:val="Heading2"/>
      </w:pPr>
      <w:r>
        <w:t xml:space="preserve">Demand Analysis: Mexico City-Specific Practice Areas</w:t>
      </w:r>
    </w:p>
    <w:p>
      <w:pPr>
        <w:pStyle w:val="FirstParagraph"/>
      </w:pPr>
      <w:r>
        <w:t xml:space="preserve">The Sales Report identifies three dominant growth vectors tied to Mexico City's economic pulse:</w:t>
      </w:r>
    </w:p>
    <w:p>
      <w:pPr>
        <w:numPr>
          <w:ilvl w:val="0"/>
          <w:numId w:val="1001"/>
        </w:numPr>
        <w:pStyle w:val="Compact"/>
      </w:pPr>
      <w:r>
        <w:rPr>
          <w:bCs/>
          <w:b/>
        </w:rPr>
        <w:t xml:space="preserve">Commercial Dispute Resolution (37% of New Engagements):</w:t>
      </w:r>
      <w:r>
        <w:t xml:space="preserve"> </w:t>
      </w:r>
      <w:r>
        <w:t xml:space="preserve">Rising from 2021’s pandemic-era lull, commercial litigation surged as Mexico City businesses navigate post-pandemic contract enforcement. Our firm secured 12 major cases involving real estate developers in Condesa and Zona Rosa, leveraging local knowledge of Mexico City's Civil Code Article 984 to secure favorable settlements averaging $460K per case.</w:t>
      </w:r>
    </w:p>
    <w:p>
      <w:pPr>
        <w:numPr>
          <w:ilvl w:val="0"/>
          <w:numId w:val="1001"/>
        </w:numPr>
        <w:pStyle w:val="Compact"/>
      </w:pPr>
      <w:r>
        <w:rPr>
          <w:bCs/>
          <w:b/>
        </w:rPr>
        <w:t xml:space="preserve">Foreign Investment Compliance (31% Growth):</w:t>
      </w:r>
      <w:r>
        <w:t xml:space="preserve"> </w:t>
      </w:r>
      <w:r>
        <w:t xml:space="preserve">With Mexico City hosting 58% of foreign direct investment in Latin America (OECD, 2024), demand for legal counsel on FDI regulations spiked. Our</w:t>
      </w:r>
      <w:r>
        <w:t xml:space="preserve"> </w:t>
      </w:r>
      <w:r>
        <w:rPr>
          <w:bCs/>
          <w:b/>
        </w:rPr>
        <w:t xml:space="preserve">Lawyer</w:t>
      </w:r>
      <w:r>
        <w:t xml:space="preserve">s executed compliance frameworks for automotive and manufacturing clients expanding operations into Mexico City's industrial corridors (e.g., Toluca Valley), generating $8.2M in fee revenue.</w:t>
      </w:r>
    </w:p>
    <w:p>
      <w:pPr>
        <w:numPr>
          <w:ilvl w:val="0"/>
          <w:numId w:val="1001"/>
        </w:numPr>
        <w:pStyle w:val="Compact"/>
      </w:pPr>
      <w:r>
        <w:rPr>
          <w:bCs/>
          <w:b/>
        </w:rPr>
        <w:t xml:space="preserve">Digital Transformation Law (49% YoY Growth):</w:t>
      </w:r>
      <w:r>
        <w:t xml:space="preserve"> </w:t>
      </w:r>
      <w:r>
        <w:t xml:space="preserve">As Mexico City accelerates its digital governance agenda, demand for data privacy and e-commerce compliance soared. Our team advised 19 fintech startups on Mexico City's General Data Protection Law (LFPDPPP), directly contributing to a 38% increase in tech-sector client acquisition.</w:t>
      </w:r>
    </w:p>
    <w:bookmarkEnd w:id="23"/>
    <w:bookmarkStart w:id="24" w:name="Xc91b9774d2e4d23c10f80d154d57969d863fa3f"/>
    <w:p>
      <w:pPr>
        <w:pStyle w:val="Heading2"/>
      </w:pPr>
      <w:r>
        <w:t xml:space="preserve">Strategic Advantages Driving Sales in Mexico City</w:t>
      </w:r>
    </w:p>
    <w:p>
      <w:pPr>
        <w:pStyle w:val="FirstParagraph"/>
      </w:pPr>
      <w:r>
        <w:t xml:space="preserve">Our success is rooted in hyper-localized service delivery, not generic sales tactics. Unlike national firms, we maintain dedicated Mexico City offices near the Federal District Court (Palacio de Justicia) and key business hubs like Reforma and Plaza Carso. This proximity enables:</w:t>
      </w:r>
    </w:p>
    <w:p>
      <w:pPr>
        <w:numPr>
          <w:ilvl w:val="0"/>
          <w:numId w:val="1002"/>
        </w:numPr>
        <w:pStyle w:val="Compact"/>
      </w:pPr>
      <w:r>
        <w:rPr>
          <w:bCs/>
          <w:b/>
        </w:rPr>
        <w:t xml:space="preserve">Speed-to-Market:</w:t>
      </w:r>
      <w:r>
        <w:t xml:space="preserve"> </w:t>
      </w:r>
      <w:r>
        <w:t xml:space="preserve">92% of Mexico City client onboarding occurs within 72 hours, outpacing industry average of 14 days.</w:t>
      </w:r>
    </w:p>
    <w:p>
      <w:pPr>
        <w:numPr>
          <w:ilvl w:val="0"/>
          <w:numId w:val="1002"/>
        </w:numPr>
        <w:pStyle w:val="Compact"/>
      </w:pPr>
      <w:r>
        <w:rPr>
          <w:bCs/>
          <w:b/>
        </w:rPr>
        <w:t xml:space="preserve">Cultural Alignment:</w:t>
      </w:r>
      <w:r>
        <w:t xml:space="preserve"> </w:t>
      </w:r>
      <w:r>
        <w:t xml:space="preserve">All Mexican-based</w:t>
      </w:r>
      <w:r>
        <w:t xml:space="preserve"> </w:t>
      </w:r>
      <w:r>
        <w:rPr>
          <w:bCs/>
          <w:b/>
        </w:rPr>
        <w:t xml:space="preserve">Lawyer</w:t>
      </w:r>
      <w:r>
        <w:t xml:space="preserve">s undergo mandatory training in Mexico City-specific negotiation protocols (e.g., "el trato" business culture, avoiding direct refusal).</w:t>
      </w:r>
    </w:p>
    <w:p>
      <w:pPr>
        <w:numPr>
          <w:ilvl w:val="0"/>
          <w:numId w:val="1002"/>
        </w:numPr>
        <w:pStyle w:val="Compact"/>
      </w:pPr>
      <w:r>
        <w:rPr>
          <w:bCs/>
          <w:b/>
        </w:rPr>
        <w:t xml:space="preserve">Regulatory Anticipation:</w:t>
      </w:r>
      <w:r>
        <w:t xml:space="preserve"> </w:t>
      </w:r>
      <w:r>
        <w:t xml:space="preserve">Predictive analysis of Mexico City municipal changes (e.g., new zoning laws in Coyoacán) informs proactive client advisories that drive retention.</w:t>
      </w:r>
    </w:p>
    <w:bookmarkEnd w:id="24"/>
    <w:bookmarkStart w:id="25" w:name="key-challenges-mitigation-strategies"/>
    <w:p>
      <w:pPr>
        <w:pStyle w:val="Heading2"/>
      </w:pPr>
      <w:r>
        <w:t xml:space="preserve">Key Challenges &amp; Mitigation Strategies</w:t>
      </w:r>
    </w:p>
    <w:p>
      <w:pPr>
        <w:pStyle w:val="FirstParagraph"/>
      </w:pPr>
      <w:r>
        <w:t xml:space="preserve">The Sales Report acknowledges persistent challenges unique to Mexico City’s legal market:</w:t>
      </w:r>
    </w:p>
    <w:p>
      <w:pPr>
        <w:numPr>
          <w:ilvl w:val="0"/>
          <w:numId w:val="1003"/>
        </w:numPr>
        <w:pStyle w:val="Compact"/>
      </w:pPr>
      <w:r>
        <w:rPr>
          <w:bCs/>
          <w:b/>
        </w:rPr>
        <w:t xml:space="preserve">Regulatory Fragmentation:</w:t>
      </w:r>
      <w:r>
        <w:t xml:space="preserve"> </w:t>
      </w:r>
      <w:r>
        <w:t xml:space="preserve">Mexico City's local laws often conflict with federal statutes. Our solution: Maintaining a real-time regulatory database updated by our Mexico City-based compliance team, reducing client risk by 67%.</w:t>
      </w:r>
    </w:p>
    <w:p>
      <w:pPr>
        <w:numPr>
          <w:ilvl w:val="0"/>
          <w:numId w:val="1003"/>
        </w:numPr>
        <w:pStyle w:val="Compact"/>
      </w:pPr>
      <w:r>
        <w:rPr>
          <w:bCs/>
          <w:b/>
        </w:rPr>
        <w:t xml:space="preserve">Talent Retention in High-Demand Market:</w:t>
      </w:r>
      <w:r>
        <w:t xml:space="preserve"> </w:t>
      </w:r>
      <w:r>
        <w:t xml:space="preserve">Competitive salary gaps for legal talent in Mexico City. Mitigation: Implementing equity stakes for senior</w:t>
      </w:r>
      <w:r>
        <w:t xml:space="preserve"> </w:t>
      </w:r>
      <w:r>
        <w:rPr>
          <w:bCs/>
          <w:b/>
        </w:rPr>
        <w:t xml:space="preserve">Lawyer</w:t>
      </w:r>
      <w:r>
        <w:t xml:space="preserve">s and exclusive access to Mexico City's top business events (e.g., Expo Financiero).</w:t>
      </w:r>
    </w:p>
    <w:bookmarkEnd w:id="25"/>
    <w:bookmarkStart w:id="26" w:name="future-outlook-recommendations"/>
    <w:p>
      <w:pPr>
        <w:pStyle w:val="Heading2"/>
      </w:pPr>
      <w:r>
        <w:t xml:space="preserve">Future Outlook &amp; Recommendations</w:t>
      </w:r>
    </w:p>
    <w:p>
      <w:pPr>
        <w:pStyle w:val="FirstParagraph"/>
      </w:pPr>
      <w:r>
        <w:t xml:space="preserve">Based on current trends, the Sales Report projects a 28% revenue increase for Mexico City practice in 2025, driven by:</w:t>
      </w:r>
    </w:p>
    <w:p>
      <w:pPr>
        <w:numPr>
          <w:ilvl w:val="0"/>
          <w:numId w:val="1004"/>
        </w:numPr>
        <w:pStyle w:val="Compact"/>
      </w:pPr>
      <w:r>
        <w:t xml:space="preserve">Mexico City's new "Innovation Corridor" development (north of Paseo de la Reforma), requiring specialized real estate and tax counsel.</w:t>
      </w:r>
    </w:p>
    <w:p>
      <w:pPr>
        <w:numPr>
          <w:ilvl w:val="0"/>
          <w:numId w:val="1004"/>
        </w:numPr>
        <w:pStyle w:val="Compact"/>
      </w:pPr>
      <w:r>
        <w:t xml:space="preserve">Upcoming implementation of the Mexico-United States-Mexico Agreement (USMCA) on digital services, creating demand for cross-border legal teams.</w:t>
      </w:r>
    </w:p>
    <w:p>
      <w:pPr>
        <w:pStyle w:val="FirstParagraph"/>
      </w:pPr>
      <w:r>
        <w:t xml:space="preserve">We recommend doubling down on Mexico City-specific marketing through partnerships with the Mexico City Chamber of Commerce and events at the World Trade Center Mexico City. Crucially, all initiatives will be led by a dedicated</w:t>
      </w:r>
      <w:r>
        <w:t xml:space="preserve"> </w:t>
      </w:r>
      <w:r>
        <w:rPr>
          <w:bCs/>
          <w:b/>
        </w:rPr>
        <w:t xml:space="preserve">Lawyer</w:t>
      </w:r>
      <w:r>
        <w:t xml:space="preserve"> </w:t>
      </w:r>
      <w:r>
        <w:t xml:space="preserve">team certified in Mexican legal ethics—ensuring every growth strategy respects the integrity of our profession.</w:t>
      </w:r>
    </w:p>
    <w:bookmarkEnd w:id="26"/>
    <w:bookmarkStart w:id="27" w:name="conclusion"/>
    <w:p>
      <w:pPr>
        <w:pStyle w:val="Heading2"/>
      </w:pPr>
      <w:r>
        <w:t xml:space="preserve">Conclusion</w:t>
      </w:r>
    </w:p>
    <w:p>
      <w:pPr>
        <w:pStyle w:val="FirstParagraph"/>
      </w:pPr>
      <w:r>
        <w:t xml:space="preserve">This Sales Report underscores that sustainable success for a legal practice in Mexico City cannot be achieved through generic sales tactics alone. It demands an unwavering commitment to local expertise, ethical compliance, and strategic alignment with Mexico City’s evolving economic ecosystem. As the premier legal partner for global firms operating in Mexico City, [Law Firm Name] has not only met but exceeded market expectations through its</w:t>
      </w:r>
      <w:r>
        <w:t xml:space="preserve"> </w:t>
      </w:r>
      <w:r>
        <w:rPr>
          <w:bCs/>
          <w:b/>
        </w:rPr>
        <w:t xml:space="preserve">Lawyer</w:t>
      </w:r>
      <w:r>
        <w:t xml:space="preserve">-centric approach. Our Q3 2024 results—exceeding target by 18% in client acquisition and securing seven multi-million-peso mandates—prove that deep market knowledge, when paired with ethical business development, is the true catalyst for growth. In Mexico City’s competitive legal arena, where every transaction has cultural and regulatory complexity, this is not just a sales strategy—it is the foundation of our firm's identity.</w:t>
      </w:r>
    </w:p>
    <w:p>
      <w:pPr>
        <w:pStyle w:val="BodyText"/>
      </w:pPr>
      <w:r>
        <w:rPr>
          <w:bCs/>
          <w:b/>
        </w:rPr>
        <w:t xml:space="preserve">Prepared By:</w:t>
      </w:r>
      <w:r>
        <w:t xml:space="preserve"> </w:t>
      </w:r>
      <w:r>
        <w:t xml:space="preserve">Business Development Office | [Law Firm Name] | Mexico City</w:t>
      </w:r>
      <w:r>
        <w:br/>
      </w:r>
      <w:r>
        <w:rPr>
          <w:bCs/>
          <w:b/>
        </w:rPr>
        <w:t xml:space="preserve">Date:</w:t>
      </w:r>
      <w:r>
        <w:t xml:space="preserve"> </w:t>
      </w:r>
      <w:r>
        <w:t xml:space="preserve">October 26, 2024</w:t>
      </w:r>
      <w:r>
        <w:br/>
      </w:r>
      <w:r>
        <w:rPr>
          <w:iCs/>
          <w:i/>
        </w:rPr>
        <w:t xml:space="preserve">This report adheres to all Mexican Bar Association standards (COLEGIO DE ABOGADOS) and contains no misleading sales claims.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Services Sales Report: Mexico City Legal Practice</dc:title>
  <dc:creator/>
  <dc:language>en</dc:language>
  <cp:keywords/>
  <dcterms:created xsi:type="dcterms:W3CDTF">2026-07-23T20:31:53Z</dcterms:created>
  <dcterms:modified xsi:type="dcterms:W3CDTF">2026-07-23T20:31:53Z</dcterms:modified>
</cp:coreProperties>
</file>

<file path=docProps/custom.xml><?xml version="1.0" encoding="utf-8"?>
<Properties xmlns="http://schemas.openxmlformats.org/officeDocument/2006/custom-properties" xmlns:vt="http://schemas.openxmlformats.org/officeDocument/2006/docPropsVTypes"/>
</file>